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B2B46" w14:textId="1A6D2E95" w:rsidR="006631EF" w:rsidRPr="00A079D3" w:rsidRDefault="006631EF" w:rsidP="006631EF">
      <w:pPr>
        <w:keepLines/>
        <w:tabs>
          <w:tab w:val="left" w:pos="567"/>
        </w:tabs>
        <w:snapToGrid w:val="0"/>
        <w:rPr>
          <w:rFonts w:ascii="Arial" w:eastAsia="ＭＳ 明朝" w:hAnsi="Arial" w:cs="Arial" w:hint="eastAsia"/>
          <w:b/>
          <w:sz w:val="28"/>
          <w:szCs w:val="28"/>
        </w:rPr>
      </w:pPr>
      <w:bookmarkStart w:id="0" w:name="_Hlk52850285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2224AF">
        <w:rPr>
          <w:rFonts w:ascii="Arial" w:hAnsi="Arial" w:cs="Arial" w:hint="eastAsia"/>
          <w:b/>
          <w:sz w:val="28"/>
          <w:szCs w:val="28"/>
          <w:lang w:eastAsia="ja-JP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 w:hint="eastAsia"/>
          <w:b/>
          <w:sz w:val="28"/>
          <w:szCs w:val="28"/>
          <w:lang w:eastAsia="ja-JP"/>
        </w:rPr>
        <w:t>25</w:t>
      </w:r>
      <w:r w:rsidR="007C3C8F">
        <w:rPr>
          <w:rFonts w:ascii="Arial" w:hAnsi="Arial" w:cs="Arial" w:hint="eastAsia"/>
          <w:b/>
          <w:sz w:val="28"/>
          <w:szCs w:val="28"/>
          <w:lang w:eastAsia="ja-JP"/>
        </w:rPr>
        <w:t>2014</w:t>
      </w:r>
    </w:p>
    <w:p w14:paraId="02481AFD" w14:textId="2ECBFD91" w:rsidR="006631EF" w:rsidRPr="00A079D3" w:rsidRDefault="002224AF" w:rsidP="006631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ja-JP"/>
        </w:rPr>
      </w:pPr>
      <w:r>
        <w:rPr>
          <w:rFonts w:ascii="Arial" w:hAnsi="Arial" w:cs="Arial" w:hint="eastAsia"/>
          <w:b/>
          <w:sz w:val="28"/>
          <w:szCs w:val="28"/>
          <w:lang w:eastAsia="ja-JP"/>
        </w:rPr>
        <w:t>Beijing</w:t>
      </w:r>
      <w:r w:rsidR="006631EF" w:rsidRPr="006631EF">
        <w:rPr>
          <w:rFonts w:ascii="Arial" w:hAnsi="Arial" w:cs="Arial"/>
          <w:b/>
          <w:sz w:val="28"/>
          <w:szCs w:val="28"/>
          <w:lang w:eastAsia="ja-JP"/>
        </w:rPr>
        <w:t xml:space="preserve">, </w:t>
      </w:r>
      <w:r>
        <w:rPr>
          <w:rFonts w:ascii="Arial" w:hAnsi="Arial" w:cs="Arial" w:hint="eastAsia"/>
          <w:b/>
          <w:sz w:val="28"/>
          <w:szCs w:val="28"/>
          <w:lang w:eastAsia="ja-JP"/>
        </w:rPr>
        <w:t>China</w:t>
      </w:r>
      <w:r w:rsidR="006631EF" w:rsidRPr="006631EF">
        <w:rPr>
          <w:rFonts w:ascii="Arial" w:hAnsi="Arial" w:cs="Arial"/>
          <w:b/>
          <w:sz w:val="28"/>
          <w:szCs w:val="28"/>
          <w:lang w:eastAsia="ja-JP"/>
        </w:rPr>
        <w:t xml:space="preserve">, </w:t>
      </w:r>
      <w:r>
        <w:rPr>
          <w:rFonts w:ascii="Arial" w:hAnsi="Arial" w:cs="Arial"/>
          <w:b/>
          <w:sz w:val="28"/>
          <w:szCs w:val="28"/>
          <w:lang w:eastAsia="ja-JP"/>
        </w:rPr>
        <w:t>September</w:t>
      </w:r>
      <w:r w:rsidR="006631EF" w:rsidRPr="006631EF">
        <w:rPr>
          <w:rFonts w:ascii="Arial" w:hAnsi="Arial" w:cs="Arial"/>
          <w:b/>
          <w:sz w:val="28"/>
          <w:szCs w:val="28"/>
          <w:lang w:eastAsia="ja-JP"/>
        </w:rPr>
        <w:t xml:space="preserve"> </w:t>
      </w:r>
      <w:r>
        <w:rPr>
          <w:rFonts w:ascii="Arial" w:hAnsi="Arial" w:cs="Arial" w:hint="eastAsia"/>
          <w:b/>
          <w:sz w:val="28"/>
          <w:szCs w:val="28"/>
          <w:lang w:eastAsia="ja-JP"/>
        </w:rPr>
        <w:t>15</w:t>
      </w:r>
      <w:r w:rsidR="006631EF" w:rsidRPr="006631EF">
        <w:rPr>
          <w:rFonts w:ascii="Arial" w:hAnsi="Arial" w:cs="Arial"/>
          <w:b/>
          <w:sz w:val="28"/>
          <w:szCs w:val="28"/>
          <w:lang w:eastAsia="ja-JP"/>
        </w:rPr>
        <w:t xml:space="preserve"> - 1</w:t>
      </w:r>
      <w:r>
        <w:rPr>
          <w:rFonts w:ascii="Arial" w:hAnsi="Arial" w:cs="Arial" w:hint="eastAsia"/>
          <w:b/>
          <w:sz w:val="28"/>
          <w:szCs w:val="28"/>
          <w:lang w:eastAsia="ja-JP"/>
        </w:rPr>
        <w:t>9</w:t>
      </w:r>
    </w:p>
    <w:bookmarkEnd w:id="0"/>
    <w:p w14:paraId="24F4F4A6" w14:textId="77777777" w:rsidR="005F6BB8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3B8EC8A" w14:textId="5BD211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120E96BB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="006428C9">
        <w:rPr>
          <w:rFonts w:ascii="Arial" w:hAnsi="Arial" w:cs="Arial" w:hint="eastAsia"/>
          <w:bCs/>
          <w:lang w:val="en-US" w:eastAsia="ja-JP"/>
        </w:rPr>
        <w:t>SoftBank</w:t>
      </w:r>
    </w:p>
    <w:p w14:paraId="37F6EC32" w14:textId="5CEDBC94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6428C9">
        <w:rPr>
          <w:rFonts w:ascii="Arial" w:hAnsi="Arial" w:cs="Arial" w:hint="eastAsia"/>
          <w:lang w:val="en-US" w:eastAsia="ja-JP"/>
        </w:rPr>
        <w:t>Proposal</w:t>
      </w:r>
      <w:r w:rsidR="003B0759">
        <w:rPr>
          <w:rFonts w:ascii="Arial" w:hAnsi="Arial" w:cs="Arial" w:hint="eastAsia"/>
          <w:lang w:val="en-US" w:eastAsia="ja-JP"/>
        </w:rPr>
        <w:t>s</w:t>
      </w:r>
      <w:r w:rsidR="006428C9">
        <w:rPr>
          <w:rFonts w:ascii="Arial" w:hAnsi="Arial" w:cs="Arial" w:hint="eastAsia"/>
          <w:lang w:val="en-US" w:eastAsia="ja-JP"/>
        </w:rPr>
        <w:t xml:space="preserve"> on</w:t>
      </w:r>
      <w:r w:rsidR="006D5F54">
        <w:rPr>
          <w:rFonts w:ascii="Arial" w:hAnsi="Arial" w:cs="Arial"/>
          <w:lang w:val="en-US"/>
        </w:rPr>
        <w:t xml:space="preserve"> </w:t>
      </w:r>
      <w:r w:rsidR="00745365">
        <w:rPr>
          <w:rFonts w:ascii="Arial" w:hAnsi="Arial" w:cs="Arial"/>
          <w:lang w:val="en-US"/>
        </w:rPr>
        <w:t>Technical Performance Requirements (TPR</w:t>
      </w:r>
      <w:r w:rsidR="006428C9">
        <w:rPr>
          <w:rFonts w:ascii="Arial" w:hAnsi="Arial" w:cs="Arial" w:hint="eastAsia"/>
          <w:lang w:val="en-US" w:eastAsia="ja-JP"/>
        </w:rPr>
        <w:t>s</w:t>
      </w:r>
      <w:r w:rsidR="00745365">
        <w:rPr>
          <w:rFonts w:ascii="Arial" w:hAnsi="Arial" w:cs="Arial"/>
          <w:lang w:val="en-US"/>
        </w:rPr>
        <w:t xml:space="preserve">) </w:t>
      </w:r>
      <w:r w:rsidR="006428C9">
        <w:rPr>
          <w:rFonts w:ascii="Arial" w:hAnsi="Arial" w:cs="Arial" w:hint="eastAsia"/>
          <w:lang w:val="en-US" w:eastAsia="ja-JP"/>
        </w:rPr>
        <w:t>of</w:t>
      </w:r>
      <w:r w:rsidR="00745365">
        <w:rPr>
          <w:rFonts w:ascii="Arial" w:hAnsi="Arial" w:cs="Arial"/>
          <w:lang w:val="en-US"/>
        </w:rPr>
        <w:t xml:space="preserve"> IMT-2030</w:t>
      </w:r>
    </w:p>
    <w:p w14:paraId="52D34054" w14:textId="28D16D07" w:rsidR="00341E95" w:rsidRPr="00896C6F" w:rsidRDefault="00341E95" w:rsidP="00896C6F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/>
          <w:lang w:val="en-US" w:eastAsia="ja-JP"/>
        </w:rPr>
        <w:t>Agenda Item</w:t>
      </w:r>
      <w:r w:rsidRPr="0074776E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b/>
          <w:lang w:val="en-US"/>
        </w:rPr>
        <w:tab/>
      </w:r>
      <w:r w:rsidR="005E7270">
        <w:rPr>
          <w:rFonts w:ascii="Arial" w:hAnsi="Arial" w:cs="Arial" w:hint="eastAsia"/>
          <w:bCs/>
          <w:lang w:val="en-US" w:eastAsia="ja-JP"/>
        </w:rPr>
        <w:t>8.2.1.2</w:t>
      </w:r>
    </w:p>
    <w:p w14:paraId="49066BBD" w14:textId="3A9A7555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  <w:r w:rsidR="00F0584E">
        <w:rPr>
          <w:rFonts w:ascii="Arial" w:hAnsi="Arial" w:cs="Arial" w:hint="eastAsia"/>
          <w:bCs/>
          <w:lang w:val="en-US" w:eastAsia="ja-JP"/>
        </w:rPr>
        <w:t xml:space="preserve"> and </w:t>
      </w:r>
      <w:r w:rsidR="00F0584E">
        <w:rPr>
          <w:rFonts w:ascii="Arial" w:hAnsi="Arial" w:cs="Arial"/>
          <w:bCs/>
          <w:lang w:val="en-US" w:eastAsia="ja-JP"/>
        </w:rPr>
        <w:t>decision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Pr="00430176" w:rsidRDefault="00D2274A" w:rsidP="00D466E4">
      <w:pPr>
        <w:pStyle w:val="1"/>
        <w:rPr>
          <w:rFonts w:ascii="Times New Roman" w:hAnsi="Times New Roman"/>
          <w:lang w:val="en-US"/>
        </w:rPr>
      </w:pPr>
      <w:r w:rsidRPr="00430176">
        <w:rPr>
          <w:rFonts w:ascii="Times New Roman" w:hAnsi="Times New Roman"/>
          <w:lang w:val="en-US"/>
        </w:rPr>
        <w:t>Background</w:t>
      </w:r>
      <w:r w:rsidR="00D466E4" w:rsidRPr="00430176">
        <w:rPr>
          <w:rFonts w:ascii="Times New Roman" w:hAnsi="Times New Roman"/>
          <w:lang w:val="en-US"/>
        </w:rPr>
        <w:t xml:space="preserve"> </w:t>
      </w:r>
    </w:p>
    <w:p w14:paraId="72176B9A" w14:textId="683C2831" w:rsidR="003645EA" w:rsidRDefault="003645EA" w:rsidP="00DC161A">
      <w:pPr>
        <w:pStyle w:val="a0"/>
        <w:spacing w:after="100" w:afterAutospacing="1"/>
        <w:rPr>
          <w:sz w:val="21"/>
          <w:szCs w:val="21"/>
          <w:lang w:val="en-US" w:eastAsia="ja-JP"/>
        </w:rPr>
      </w:pPr>
      <w:r w:rsidRPr="003645EA">
        <w:rPr>
          <w:sz w:val="21"/>
          <w:szCs w:val="21"/>
          <w:lang w:eastAsia="ja-JP"/>
        </w:rPr>
        <w:t>At the 108</w:t>
      </w:r>
      <w:r w:rsidRPr="003645EA">
        <w:rPr>
          <w:sz w:val="21"/>
          <w:szCs w:val="21"/>
          <w:vertAlign w:val="superscript"/>
          <w:lang w:eastAsia="ja-JP"/>
        </w:rPr>
        <w:t>th</w:t>
      </w:r>
      <w:r>
        <w:rPr>
          <w:rFonts w:hint="eastAsia"/>
          <w:sz w:val="21"/>
          <w:szCs w:val="21"/>
          <w:lang w:eastAsia="ja-JP"/>
        </w:rPr>
        <w:t xml:space="preserve"> </w:t>
      </w:r>
      <w:r w:rsidRPr="003645EA">
        <w:rPr>
          <w:sz w:val="21"/>
          <w:szCs w:val="21"/>
          <w:lang w:eastAsia="ja-JP"/>
        </w:rPr>
        <w:t>3GPP TSG RAN meeting, a consensus was reached on some items and values for IMT-2030 technical performance requirements (TPRs), and a</w:t>
      </w:r>
      <w:r w:rsidR="003D3C2B">
        <w:rPr>
          <w:rFonts w:hint="eastAsia"/>
          <w:sz w:val="21"/>
          <w:szCs w:val="21"/>
          <w:lang w:eastAsia="ja-JP"/>
        </w:rPr>
        <w:t xml:space="preserve"> corresponding</w:t>
      </w:r>
      <w:r w:rsidRPr="003645EA">
        <w:rPr>
          <w:sz w:val="21"/>
          <w:szCs w:val="21"/>
          <w:lang w:eastAsia="ja-JP"/>
        </w:rPr>
        <w:t xml:space="preserve"> Liaison Statement (LS) </w:t>
      </w:r>
      <w:r>
        <w:rPr>
          <w:rFonts w:hint="eastAsia"/>
          <w:sz w:val="21"/>
          <w:szCs w:val="21"/>
          <w:lang w:eastAsia="ja-JP"/>
        </w:rPr>
        <w:t xml:space="preserve">[1] </w:t>
      </w:r>
      <w:r w:rsidRPr="003645EA">
        <w:rPr>
          <w:sz w:val="21"/>
          <w:szCs w:val="21"/>
          <w:lang w:eastAsia="ja-JP"/>
        </w:rPr>
        <w:t>was sent to</w:t>
      </w:r>
      <w:r w:rsidR="003D3C2B">
        <w:rPr>
          <w:rFonts w:hint="eastAsia"/>
          <w:sz w:val="21"/>
          <w:szCs w:val="21"/>
          <w:lang w:eastAsia="ja-JP"/>
        </w:rPr>
        <w:t xml:space="preserve"> ITU-R Working Party</w:t>
      </w:r>
      <w:r w:rsidRPr="003645EA">
        <w:rPr>
          <w:sz w:val="21"/>
          <w:szCs w:val="21"/>
          <w:lang w:eastAsia="ja-JP"/>
        </w:rPr>
        <w:t xml:space="preserve"> </w:t>
      </w:r>
      <w:r w:rsidR="003D3C2B">
        <w:rPr>
          <w:rFonts w:hint="eastAsia"/>
          <w:sz w:val="21"/>
          <w:szCs w:val="21"/>
          <w:lang w:eastAsia="ja-JP"/>
        </w:rPr>
        <w:t>(</w:t>
      </w:r>
      <w:r w:rsidRPr="003645EA">
        <w:rPr>
          <w:sz w:val="21"/>
          <w:szCs w:val="21"/>
          <w:lang w:eastAsia="ja-JP"/>
        </w:rPr>
        <w:t>WP 5D</w:t>
      </w:r>
      <w:r w:rsidR="003D3C2B">
        <w:rPr>
          <w:rFonts w:hint="eastAsia"/>
          <w:sz w:val="21"/>
          <w:szCs w:val="21"/>
          <w:lang w:eastAsia="ja-JP"/>
        </w:rPr>
        <w:t>)</w:t>
      </w:r>
      <w:r w:rsidRPr="003645EA">
        <w:rPr>
          <w:sz w:val="21"/>
          <w:szCs w:val="21"/>
          <w:lang w:eastAsia="ja-JP"/>
        </w:rPr>
        <w:t xml:space="preserve">. However, some TPR items </w:t>
      </w:r>
      <w:r w:rsidR="003D3C2B">
        <w:rPr>
          <w:rFonts w:hint="eastAsia"/>
          <w:sz w:val="21"/>
          <w:szCs w:val="21"/>
          <w:lang w:eastAsia="ja-JP"/>
        </w:rPr>
        <w:t xml:space="preserve">including Resilience </w:t>
      </w:r>
      <w:r w:rsidRPr="003645EA">
        <w:rPr>
          <w:sz w:val="21"/>
          <w:szCs w:val="21"/>
          <w:lang w:eastAsia="ja-JP"/>
        </w:rPr>
        <w:t xml:space="preserve">and values </w:t>
      </w:r>
      <w:r w:rsidR="003D3C2B">
        <w:rPr>
          <w:rFonts w:hint="eastAsia"/>
          <w:sz w:val="21"/>
          <w:szCs w:val="21"/>
          <w:lang w:eastAsia="ja-JP"/>
        </w:rPr>
        <w:t>remain</w:t>
      </w:r>
      <w:r w:rsidRPr="003645EA">
        <w:rPr>
          <w:sz w:val="21"/>
          <w:szCs w:val="21"/>
          <w:lang w:eastAsia="ja-JP"/>
        </w:rPr>
        <w:t xml:space="preserve"> under consideration. </w:t>
      </w:r>
    </w:p>
    <w:p w14:paraId="22B4DD97" w14:textId="0F3038F2" w:rsidR="003645EA" w:rsidRDefault="003645EA" w:rsidP="00A03D4B">
      <w:pPr>
        <w:pStyle w:val="a0"/>
        <w:spacing w:after="100" w:afterAutospacing="1"/>
        <w:rPr>
          <w:sz w:val="21"/>
          <w:szCs w:val="21"/>
          <w:lang w:eastAsia="ja-JP"/>
        </w:rPr>
      </w:pPr>
      <w:r w:rsidRPr="003645EA">
        <w:rPr>
          <w:sz w:val="21"/>
          <w:szCs w:val="21"/>
          <w:lang w:eastAsia="ja-JP"/>
        </w:rPr>
        <w:t>During the 49th WP 5D meeting, additional items were agreed to be incorporated into the TPRs. According to a working document</w:t>
      </w:r>
      <w:r w:rsidR="003D3C2B">
        <w:rPr>
          <w:rFonts w:hint="eastAsia"/>
          <w:sz w:val="21"/>
          <w:szCs w:val="21"/>
          <w:lang w:eastAsia="ja-JP"/>
        </w:rPr>
        <w:t xml:space="preserve"> of that meeting</w:t>
      </w:r>
      <w:r>
        <w:rPr>
          <w:rFonts w:hint="eastAsia"/>
          <w:sz w:val="21"/>
          <w:szCs w:val="21"/>
          <w:lang w:eastAsia="ja-JP"/>
        </w:rPr>
        <w:t xml:space="preserve"> [2]</w:t>
      </w:r>
      <w:r w:rsidRPr="003645EA">
        <w:rPr>
          <w:sz w:val="21"/>
          <w:szCs w:val="21"/>
          <w:lang w:eastAsia="ja-JP"/>
        </w:rPr>
        <w:t xml:space="preserve">, the </w:t>
      </w:r>
      <w:proofErr w:type="gramStart"/>
      <w:r w:rsidRPr="003645EA">
        <w:rPr>
          <w:sz w:val="21"/>
          <w:szCs w:val="21"/>
          <w:lang w:eastAsia="ja-JP"/>
        </w:rPr>
        <w:t>current status</w:t>
      </w:r>
      <w:proofErr w:type="gramEnd"/>
      <w:r w:rsidRPr="003645EA">
        <w:rPr>
          <w:sz w:val="21"/>
          <w:szCs w:val="21"/>
          <w:lang w:eastAsia="ja-JP"/>
        </w:rPr>
        <w:t xml:space="preserve"> of the </w:t>
      </w:r>
      <w:r w:rsidR="003D3C2B">
        <w:rPr>
          <w:rFonts w:hint="eastAsia"/>
          <w:sz w:val="21"/>
          <w:szCs w:val="21"/>
          <w:lang w:eastAsia="ja-JP"/>
        </w:rPr>
        <w:t xml:space="preserve">TPR </w:t>
      </w:r>
      <w:r w:rsidRPr="003645EA">
        <w:rPr>
          <w:sz w:val="21"/>
          <w:szCs w:val="21"/>
          <w:lang w:eastAsia="ja-JP"/>
        </w:rPr>
        <w:t>discussion</w:t>
      </w:r>
      <w:r w:rsidR="003D3C2B">
        <w:rPr>
          <w:rFonts w:hint="eastAsia"/>
          <w:sz w:val="21"/>
          <w:szCs w:val="21"/>
          <w:lang w:eastAsia="ja-JP"/>
        </w:rPr>
        <w:t>s</w:t>
      </w:r>
      <w:r w:rsidRPr="003645EA">
        <w:rPr>
          <w:sz w:val="21"/>
          <w:szCs w:val="21"/>
          <w:lang w:eastAsia="ja-JP"/>
        </w:rPr>
        <w:t xml:space="preserve"> is presented in the following table.</w:t>
      </w:r>
    </w:p>
    <w:p w14:paraId="3B216E31" w14:textId="1C66D42A" w:rsidR="00D2274A" w:rsidRPr="007C501A" w:rsidRDefault="003D3C2B" w:rsidP="007C501A">
      <w:pPr>
        <w:pStyle w:val="Note"/>
        <w:snapToGrid w:val="0"/>
        <w:jc w:val="center"/>
        <w:rPr>
          <w:i/>
          <w:iCs/>
          <w:sz w:val="20"/>
          <w:szCs w:val="18"/>
        </w:rPr>
      </w:pPr>
      <w:r>
        <w:rPr>
          <w:rFonts w:hint="eastAsia"/>
          <w:b/>
          <w:bCs/>
          <w:sz w:val="21"/>
          <w:szCs w:val="21"/>
          <w:lang w:val="en-US" w:eastAsia="ja-JP"/>
        </w:rPr>
        <w:t xml:space="preserve">Table 1: </w:t>
      </w:r>
      <w:r w:rsidR="00EB6A52">
        <w:rPr>
          <w:rFonts w:hint="eastAsia"/>
          <w:b/>
          <w:bCs/>
          <w:sz w:val="21"/>
          <w:szCs w:val="21"/>
          <w:lang w:val="en-US" w:eastAsia="ja-JP"/>
        </w:rPr>
        <w:t>P</w:t>
      </w:r>
      <w:r w:rsidR="00A03D4B" w:rsidRPr="00EB6A52">
        <w:rPr>
          <w:b/>
          <w:bCs/>
          <w:sz w:val="21"/>
          <w:szCs w:val="21"/>
          <w:lang w:val="en-US" w:eastAsia="ja-JP"/>
        </w:rPr>
        <w:t>reliminary</w:t>
      </w:r>
      <w:r w:rsidR="00A03D4B" w:rsidRPr="00EB6A52">
        <w:rPr>
          <w:rFonts w:hint="eastAsia"/>
          <w:b/>
          <w:bCs/>
          <w:sz w:val="21"/>
          <w:szCs w:val="21"/>
          <w:lang w:val="en-US" w:eastAsia="ja-JP"/>
        </w:rPr>
        <w:t xml:space="preserve"> list of TPRs in the working document</w:t>
      </w:r>
      <w:r w:rsidR="00EB6A52">
        <w:rPr>
          <w:rFonts w:hint="eastAsia"/>
          <w:b/>
          <w:bCs/>
          <w:sz w:val="21"/>
          <w:szCs w:val="21"/>
          <w:lang w:val="en-US" w:eastAsia="ja-JP"/>
        </w:rPr>
        <w:t xml:space="preserve"> </w:t>
      </w:r>
      <w:r w:rsidR="00984942">
        <w:rPr>
          <w:rFonts w:hint="eastAsia"/>
          <w:b/>
          <w:bCs/>
          <w:sz w:val="21"/>
          <w:szCs w:val="21"/>
          <w:lang w:val="en-US" w:eastAsia="ja-JP"/>
        </w:rPr>
        <w:t>at the 49</w:t>
      </w:r>
      <w:r w:rsidR="00984942" w:rsidRPr="00984942">
        <w:rPr>
          <w:rFonts w:hint="eastAsia"/>
          <w:b/>
          <w:bCs/>
          <w:sz w:val="21"/>
          <w:szCs w:val="21"/>
          <w:vertAlign w:val="superscript"/>
          <w:lang w:val="en-US" w:eastAsia="ja-JP"/>
        </w:rPr>
        <w:t>th</w:t>
      </w:r>
      <w:r w:rsidR="00EB6A52">
        <w:rPr>
          <w:rFonts w:hint="eastAsia"/>
          <w:b/>
          <w:bCs/>
          <w:sz w:val="21"/>
          <w:szCs w:val="21"/>
          <w:lang w:val="en-US" w:eastAsia="ja-JP"/>
        </w:rPr>
        <w:t xml:space="preserve"> WP 5D</w:t>
      </w:r>
      <w:r w:rsidR="00984942">
        <w:rPr>
          <w:rFonts w:hint="eastAsia"/>
          <w:b/>
          <w:bCs/>
          <w:sz w:val="21"/>
          <w:szCs w:val="21"/>
          <w:lang w:val="en-US" w:eastAsia="ja-JP"/>
        </w:rPr>
        <w:t xml:space="preserve"> meeting</w:t>
      </w:r>
      <w:r w:rsidR="007C501A">
        <w:rPr>
          <w:b/>
          <w:bCs/>
          <w:sz w:val="21"/>
          <w:szCs w:val="21"/>
          <w:lang w:val="en-US" w:eastAsia="ja-JP"/>
        </w:rPr>
        <w:br/>
      </w:r>
      <w:r w:rsidR="007C501A">
        <w:rPr>
          <w:i/>
          <w:iCs/>
          <w:sz w:val="20"/>
          <w:szCs w:val="18"/>
        </w:rPr>
        <w:t>(Note: Square brackets indicate further discussion required)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3827"/>
        <w:gridCol w:w="1566"/>
      </w:tblGrid>
      <w:tr w:rsidR="00EB6A52" w14:paraId="5418FEB2" w14:textId="77777777" w:rsidTr="00FD3EDF">
        <w:trPr>
          <w:trHeight w:val="60"/>
          <w:jc w:val="center"/>
        </w:trPr>
        <w:tc>
          <w:tcPr>
            <w:tcW w:w="839" w:type="dxa"/>
            <w:vAlign w:val="center"/>
          </w:tcPr>
          <w:p w14:paraId="0A65CB63" w14:textId="56158DBD" w:rsidR="00EB6A52" w:rsidRPr="00EB6A52" w:rsidRDefault="00EB6A52" w:rsidP="00FD3EDF">
            <w:pPr>
              <w:pStyle w:val="a0"/>
              <w:spacing w:after="100" w:afterAutospacing="1"/>
              <w:jc w:val="center"/>
              <w:rPr>
                <w:b/>
                <w:bCs/>
                <w:lang w:val="en-US" w:eastAsia="ja-JP"/>
              </w:rPr>
            </w:pPr>
            <w:r w:rsidRPr="00EB6A52">
              <w:rPr>
                <w:rFonts w:hint="eastAsia"/>
                <w:b/>
                <w:bCs/>
                <w:lang w:val="en-US" w:eastAsia="ja-JP"/>
              </w:rPr>
              <w:t>Section</w:t>
            </w:r>
          </w:p>
        </w:tc>
        <w:tc>
          <w:tcPr>
            <w:tcW w:w="3827" w:type="dxa"/>
            <w:vAlign w:val="center"/>
          </w:tcPr>
          <w:p w14:paraId="7E38577F" w14:textId="6BE0B3D6" w:rsidR="00EB6A52" w:rsidRPr="00EB6A52" w:rsidRDefault="00EB6A52" w:rsidP="00FD3EDF">
            <w:pPr>
              <w:pStyle w:val="a0"/>
              <w:spacing w:after="100" w:afterAutospacing="1"/>
              <w:jc w:val="center"/>
              <w:rPr>
                <w:b/>
                <w:bCs/>
                <w:lang w:val="en-US" w:eastAsia="ja-JP"/>
              </w:rPr>
            </w:pPr>
            <w:r w:rsidRPr="00EB6A52">
              <w:rPr>
                <w:rFonts w:hint="eastAsia"/>
                <w:b/>
                <w:bCs/>
                <w:lang w:val="en-US" w:eastAsia="ja-JP"/>
              </w:rPr>
              <w:t>TPR</w:t>
            </w:r>
          </w:p>
        </w:tc>
        <w:tc>
          <w:tcPr>
            <w:tcW w:w="1566" w:type="dxa"/>
            <w:vAlign w:val="center"/>
          </w:tcPr>
          <w:p w14:paraId="5281AEBA" w14:textId="39939A66" w:rsidR="00EB6A52" w:rsidRPr="00EB6A52" w:rsidRDefault="00EB6A52" w:rsidP="00FD3EDF">
            <w:pPr>
              <w:pStyle w:val="a0"/>
              <w:spacing w:after="100" w:afterAutospacing="1"/>
              <w:jc w:val="center"/>
              <w:rPr>
                <w:b/>
                <w:bCs/>
                <w:lang w:val="en-US" w:eastAsia="ja-JP"/>
              </w:rPr>
            </w:pPr>
            <w:r w:rsidRPr="00EB6A52">
              <w:rPr>
                <w:rFonts w:hint="eastAsia"/>
                <w:b/>
                <w:bCs/>
                <w:lang w:val="en-US" w:eastAsia="ja-JP"/>
              </w:rPr>
              <w:t>Method</w:t>
            </w:r>
          </w:p>
        </w:tc>
      </w:tr>
      <w:tr w:rsidR="00EB6A52" w14:paraId="12CEA1B3" w14:textId="77777777" w:rsidTr="00FD3EDF">
        <w:trPr>
          <w:jc w:val="center"/>
        </w:trPr>
        <w:tc>
          <w:tcPr>
            <w:tcW w:w="839" w:type="dxa"/>
            <w:vAlign w:val="center"/>
          </w:tcPr>
          <w:p w14:paraId="5DEFC66F" w14:textId="4DAFFEE1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</w:t>
            </w:r>
          </w:p>
        </w:tc>
        <w:tc>
          <w:tcPr>
            <w:tcW w:w="3827" w:type="dxa"/>
            <w:vAlign w:val="center"/>
          </w:tcPr>
          <w:p w14:paraId="529C6D02" w14:textId="499B6049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Peak data rate</w:t>
            </w:r>
          </w:p>
        </w:tc>
        <w:tc>
          <w:tcPr>
            <w:tcW w:w="1566" w:type="dxa"/>
            <w:vAlign w:val="center"/>
          </w:tcPr>
          <w:p w14:paraId="560EDA04" w14:textId="0A4A62F9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38420C38" w14:textId="77777777" w:rsidTr="00FD3EDF">
        <w:trPr>
          <w:jc w:val="center"/>
        </w:trPr>
        <w:tc>
          <w:tcPr>
            <w:tcW w:w="839" w:type="dxa"/>
            <w:vAlign w:val="center"/>
          </w:tcPr>
          <w:p w14:paraId="1C1E0621" w14:textId="5A69993A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4.2</w:t>
            </w:r>
          </w:p>
        </w:tc>
        <w:tc>
          <w:tcPr>
            <w:tcW w:w="3827" w:type="dxa"/>
            <w:vAlign w:val="center"/>
          </w:tcPr>
          <w:p w14:paraId="46DDD902" w14:textId="1379929F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5th percentile user data rate</w:t>
            </w:r>
          </w:p>
        </w:tc>
        <w:tc>
          <w:tcPr>
            <w:tcW w:w="1566" w:type="dxa"/>
            <w:vAlign w:val="center"/>
          </w:tcPr>
          <w:p w14:paraId="47DB0455" w14:textId="58FD931F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181FEA4D" w14:textId="77777777" w:rsidTr="00FD3EDF">
        <w:trPr>
          <w:jc w:val="center"/>
        </w:trPr>
        <w:tc>
          <w:tcPr>
            <w:tcW w:w="839" w:type="dxa"/>
            <w:vAlign w:val="center"/>
          </w:tcPr>
          <w:p w14:paraId="58DB83EE" w14:textId="422F182C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4.3.1</w:t>
            </w:r>
          </w:p>
        </w:tc>
        <w:tc>
          <w:tcPr>
            <w:tcW w:w="3827" w:type="dxa"/>
            <w:vAlign w:val="center"/>
          </w:tcPr>
          <w:p w14:paraId="78611527" w14:textId="22B9CE1A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837F42">
              <w:t>Peak Spectral Efficiency</w:t>
            </w:r>
          </w:p>
        </w:tc>
        <w:tc>
          <w:tcPr>
            <w:tcW w:w="1566" w:type="dxa"/>
            <w:vAlign w:val="center"/>
          </w:tcPr>
          <w:p w14:paraId="3F757540" w14:textId="1301FAB6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71D8B619" w14:textId="77777777" w:rsidTr="00FD3EDF">
        <w:trPr>
          <w:jc w:val="center"/>
        </w:trPr>
        <w:tc>
          <w:tcPr>
            <w:tcW w:w="839" w:type="dxa"/>
            <w:vAlign w:val="center"/>
          </w:tcPr>
          <w:p w14:paraId="1B6C3B7B" w14:textId="25A7AA6C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4.3.2</w:t>
            </w:r>
          </w:p>
        </w:tc>
        <w:tc>
          <w:tcPr>
            <w:tcW w:w="3827" w:type="dxa"/>
            <w:vAlign w:val="center"/>
          </w:tcPr>
          <w:p w14:paraId="2232974E" w14:textId="1A1CB87C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Average Spectral efficiency</w:t>
            </w:r>
          </w:p>
        </w:tc>
        <w:tc>
          <w:tcPr>
            <w:tcW w:w="1566" w:type="dxa"/>
            <w:vAlign w:val="center"/>
          </w:tcPr>
          <w:p w14:paraId="09E358F7" w14:textId="4DFBC18D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7833E5B1" w14:textId="77777777" w:rsidTr="00FD3EDF">
        <w:trPr>
          <w:jc w:val="center"/>
        </w:trPr>
        <w:tc>
          <w:tcPr>
            <w:tcW w:w="839" w:type="dxa"/>
            <w:vAlign w:val="center"/>
          </w:tcPr>
          <w:p w14:paraId="21CECA08" w14:textId="50406958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4.3.3</w:t>
            </w:r>
          </w:p>
        </w:tc>
        <w:tc>
          <w:tcPr>
            <w:tcW w:w="3827" w:type="dxa"/>
            <w:vAlign w:val="center"/>
          </w:tcPr>
          <w:p w14:paraId="15294C95" w14:textId="607C25C0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5th percentile user Spectral efficiency</w:t>
            </w:r>
          </w:p>
        </w:tc>
        <w:tc>
          <w:tcPr>
            <w:tcW w:w="1566" w:type="dxa"/>
            <w:vAlign w:val="center"/>
          </w:tcPr>
          <w:p w14:paraId="6C6BA207" w14:textId="4E3D2938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56C65AE7" w14:textId="77777777" w:rsidTr="00FD3EDF">
        <w:trPr>
          <w:jc w:val="center"/>
        </w:trPr>
        <w:tc>
          <w:tcPr>
            <w:tcW w:w="839" w:type="dxa"/>
            <w:vAlign w:val="center"/>
          </w:tcPr>
          <w:p w14:paraId="2EE43913" w14:textId="5056ACBD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4.4</w:t>
            </w:r>
          </w:p>
        </w:tc>
        <w:tc>
          <w:tcPr>
            <w:tcW w:w="3827" w:type="dxa"/>
            <w:vAlign w:val="center"/>
          </w:tcPr>
          <w:p w14:paraId="046E534A" w14:textId="07C2FD44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Area traffic capacity</w:t>
            </w:r>
          </w:p>
        </w:tc>
        <w:tc>
          <w:tcPr>
            <w:tcW w:w="1566" w:type="dxa"/>
            <w:vAlign w:val="center"/>
          </w:tcPr>
          <w:p w14:paraId="177DF901" w14:textId="7C49B549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5B7A9FA2" w14:textId="77777777" w:rsidTr="00FD3EDF">
        <w:trPr>
          <w:jc w:val="center"/>
        </w:trPr>
        <w:tc>
          <w:tcPr>
            <w:tcW w:w="839" w:type="dxa"/>
            <w:vAlign w:val="center"/>
          </w:tcPr>
          <w:p w14:paraId="129A2AF5" w14:textId="424C378C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4.5</w:t>
            </w:r>
          </w:p>
        </w:tc>
        <w:tc>
          <w:tcPr>
            <w:tcW w:w="3827" w:type="dxa"/>
            <w:vAlign w:val="center"/>
          </w:tcPr>
          <w:p w14:paraId="3F6EC714" w14:textId="2D980FDD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Connection Density</w:t>
            </w:r>
          </w:p>
        </w:tc>
        <w:tc>
          <w:tcPr>
            <w:tcW w:w="1566" w:type="dxa"/>
            <w:vAlign w:val="center"/>
          </w:tcPr>
          <w:p w14:paraId="17D82E73" w14:textId="55566EFA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1773472B" w14:textId="77777777" w:rsidTr="00FD3EDF">
        <w:trPr>
          <w:jc w:val="center"/>
        </w:trPr>
        <w:tc>
          <w:tcPr>
            <w:tcW w:w="839" w:type="dxa"/>
            <w:vAlign w:val="center"/>
          </w:tcPr>
          <w:p w14:paraId="0A4AE9FD" w14:textId="368899B3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4.6</w:t>
            </w:r>
          </w:p>
        </w:tc>
        <w:tc>
          <w:tcPr>
            <w:tcW w:w="3827" w:type="dxa"/>
            <w:vAlign w:val="center"/>
          </w:tcPr>
          <w:p w14:paraId="76FF441B" w14:textId="07983496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Mobility</w:t>
            </w:r>
          </w:p>
        </w:tc>
        <w:tc>
          <w:tcPr>
            <w:tcW w:w="1566" w:type="dxa"/>
            <w:vAlign w:val="center"/>
          </w:tcPr>
          <w:p w14:paraId="39E4BEAA" w14:textId="2224F508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279E0ED6" w14:textId="77777777" w:rsidTr="00FD3EDF">
        <w:trPr>
          <w:jc w:val="center"/>
        </w:trPr>
        <w:tc>
          <w:tcPr>
            <w:tcW w:w="839" w:type="dxa"/>
            <w:vAlign w:val="center"/>
          </w:tcPr>
          <w:p w14:paraId="3C7DF412" w14:textId="404849F3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4.6.1</w:t>
            </w:r>
          </w:p>
        </w:tc>
        <w:tc>
          <w:tcPr>
            <w:tcW w:w="3827" w:type="dxa"/>
            <w:vAlign w:val="center"/>
          </w:tcPr>
          <w:p w14:paraId="470919E6" w14:textId="0C14A84A" w:rsidR="00EB6A52" w:rsidRDefault="00EB6A52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Mobility interruption time</w:t>
            </w:r>
          </w:p>
        </w:tc>
        <w:tc>
          <w:tcPr>
            <w:tcW w:w="1566" w:type="dxa"/>
            <w:vAlign w:val="center"/>
          </w:tcPr>
          <w:p w14:paraId="433371B5" w14:textId="421434EC" w:rsid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EB6A52" w14:paraId="451E4340" w14:textId="77777777" w:rsidTr="00FD3EDF">
        <w:trPr>
          <w:jc w:val="center"/>
        </w:trPr>
        <w:tc>
          <w:tcPr>
            <w:tcW w:w="839" w:type="dxa"/>
            <w:vAlign w:val="center"/>
          </w:tcPr>
          <w:p w14:paraId="75ABF8A9" w14:textId="179F4FE0" w:rsidR="00EB6A52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4.7.1</w:t>
            </w:r>
          </w:p>
        </w:tc>
        <w:tc>
          <w:tcPr>
            <w:tcW w:w="3827" w:type="dxa"/>
            <w:vAlign w:val="center"/>
          </w:tcPr>
          <w:p w14:paraId="616F7230" w14:textId="726EB209" w:rsid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User plane latency</w:t>
            </w:r>
          </w:p>
        </w:tc>
        <w:tc>
          <w:tcPr>
            <w:tcW w:w="1566" w:type="dxa"/>
            <w:vAlign w:val="center"/>
          </w:tcPr>
          <w:p w14:paraId="0B7C92F4" w14:textId="1C3F083F" w:rsid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4199F132" w14:textId="77777777" w:rsidTr="00FD3EDF">
        <w:trPr>
          <w:jc w:val="center"/>
        </w:trPr>
        <w:tc>
          <w:tcPr>
            <w:tcW w:w="839" w:type="dxa"/>
            <w:vAlign w:val="center"/>
          </w:tcPr>
          <w:p w14:paraId="69B8E982" w14:textId="77B02DA9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4.7.2</w:t>
            </w:r>
          </w:p>
        </w:tc>
        <w:tc>
          <w:tcPr>
            <w:tcW w:w="3827" w:type="dxa"/>
            <w:vAlign w:val="center"/>
          </w:tcPr>
          <w:p w14:paraId="75E3024E" w14:textId="21EF8EA3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Control plane latency</w:t>
            </w:r>
          </w:p>
        </w:tc>
        <w:tc>
          <w:tcPr>
            <w:tcW w:w="1566" w:type="dxa"/>
            <w:vAlign w:val="center"/>
          </w:tcPr>
          <w:p w14:paraId="20DC61A0" w14:textId="0CC41CC6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73EAD4E5" w14:textId="77777777" w:rsidTr="00FD3EDF">
        <w:trPr>
          <w:jc w:val="center"/>
        </w:trPr>
        <w:tc>
          <w:tcPr>
            <w:tcW w:w="839" w:type="dxa"/>
            <w:vAlign w:val="center"/>
          </w:tcPr>
          <w:p w14:paraId="49C6DC3C" w14:textId="2595DFB2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4.8</w:t>
            </w:r>
          </w:p>
        </w:tc>
        <w:tc>
          <w:tcPr>
            <w:tcW w:w="3827" w:type="dxa"/>
            <w:vAlign w:val="center"/>
          </w:tcPr>
          <w:p w14:paraId="6CFBD82A" w14:textId="3BF5DA5A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Reliability</w:t>
            </w:r>
          </w:p>
        </w:tc>
        <w:tc>
          <w:tcPr>
            <w:tcW w:w="1566" w:type="dxa"/>
            <w:vAlign w:val="center"/>
          </w:tcPr>
          <w:p w14:paraId="14A0B274" w14:textId="5EA0B7B1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7FCF1143" w14:textId="77777777" w:rsidTr="00FD3EDF">
        <w:trPr>
          <w:jc w:val="center"/>
        </w:trPr>
        <w:tc>
          <w:tcPr>
            <w:tcW w:w="839" w:type="dxa"/>
            <w:vAlign w:val="center"/>
          </w:tcPr>
          <w:p w14:paraId="12F63D58" w14:textId="34FEE593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[4.9]</w:t>
            </w:r>
          </w:p>
        </w:tc>
        <w:tc>
          <w:tcPr>
            <w:tcW w:w="3827" w:type="dxa"/>
            <w:vAlign w:val="center"/>
          </w:tcPr>
          <w:p w14:paraId="0B9C1F08" w14:textId="1A7548A7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</w:t>
            </w:r>
            <w:r w:rsidRPr="007C68E7">
              <w:rPr>
                <w:i/>
                <w:iCs/>
                <w:lang w:val="en-US"/>
              </w:rPr>
              <w:t>Composite requirement</w:t>
            </w:r>
            <w:r w:rsidRPr="007C68E7">
              <w:rPr>
                <w:rFonts w:hint="eastAsia"/>
                <w:i/>
                <w:iCs/>
                <w:lang w:val="en-US" w:eastAsia="ja-JP"/>
              </w:rPr>
              <w:t>]</w:t>
            </w:r>
          </w:p>
        </w:tc>
        <w:tc>
          <w:tcPr>
            <w:tcW w:w="1566" w:type="dxa"/>
            <w:vAlign w:val="center"/>
          </w:tcPr>
          <w:p w14:paraId="7F5F2302" w14:textId="367B28E2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[TBD]</w:t>
            </w:r>
          </w:p>
        </w:tc>
      </w:tr>
      <w:tr w:rsidR="007C68E7" w14:paraId="1513BFC8" w14:textId="77777777" w:rsidTr="00FD3EDF">
        <w:trPr>
          <w:jc w:val="center"/>
        </w:trPr>
        <w:tc>
          <w:tcPr>
            <w:tcW w:w="839" w:type="dxa"/>
            <w:vAlign w:val="center"/>
          </w:tcPr>
          <w:p w14:paraId="45D63C30" w14:textId="0BBB4344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[4.10]</w:t>
            </w:r>
          </w:p>
        </w:tc>
        <w:tc>
          <w:tcPr>
            <w:tcW w:w="3827" w:type="dxa"/>
            <w:vAlign w:val="center"/>
          </w:tcPr>
          <w:p w14:paraId="46CFD939" w14:textId="57D4E625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</w:t>
            </w:r>
            <w:r>
              <w:rPr>
                <w:rFonts w:hint="eastAsia"/>
                <w:i/>
                <w:iCs/>
                <w:lang w:val="en-US" w:eastAsia="ja-JP"/>
              </w:rPr>
              <w:t>Coverage</w:t>
            </w:r>
            <w:r w:rsidRPr="007C68E7">
              <w:rPr>
                <w:rFonts w:hint="eastAsia"/>
                <w:i/>
                <w:iCs/>
                <w:lang w:val="en-US" w:eastAsia="ja-JP"/>
              </w:rPr>
              <w:t>]</w:t>
            </w:r>
          </w:p>
        </w:tc>
        <w:tc>
          <w:tcPr>
            <w:tcW w:w="1566" w:type="dxa"/>
            <w:vAlign w:val="center"/>
          </w:tcPr>
          <w:p w14:paraId="2ECD4D1B" w14:textId="7C4603A2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</w:t>
            </w:r>
            <w:r>
              <w:rPr>
                <w:rFonts w:hint="eastAsia"/>
                <w:i/>
                <w:iCs/>
                <w:lang w:val="en-US" w:eastAsia="ja-JP"/>
              </w:rPr>
              <w:t>TBD</w:t>
            </w:r>
            <w:r w:rsidRPr="007C68E7">
              <w:rPr>
                <w:rFonts w:hint="eastAsia"/>
                <w:i/>
                <w:iCs/>
                <w:lang w:val="en-US" w:eastAsia="ja-JP"/>
              </w:rPr>
              <w:t>]</w:t>
            </w:r>
          </w:p>
        </w:tc>
      </w:tr>
      <w:tr w:rsidR="007C68E7" w14:paraId="61074231" w14:textId="77777777" w:rsidTr="00FD3EDF">
        <w:trPr>
          <w:jc w:val="center"/>
        </w:trPr>
        <w:tc>
          <w:tcPr>
            <w:tcW w:w="839" w:type="dxa"/>
            <w:vAlign w:val="center"/>
          </w:tcPr>
          <w:p w14:paraId="31B10D43" w14:textId="06E02A86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4.11</w:t>
            </w:r>
          </w:p>
        </w:tc>
        <w:tc>
          <w:tcPr>
            <w:tcW w:w="3827" w:type="dxa"/>
            <w:vAlign w:val="center"/>
          </w:tcPr>
          <w:p w14:paraId="70568041" w14:textId="3DE505B2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Positioning</w:t>
            </w:r>
          </w:p>
        </w:tc>
        <w:tc>
          <w:tcPr>
            <w:tcW w:w="1566" w:type="dxa"/>
            <w:vAlign w:val="center"/>
          </w:tcPr>
          <w:p w14:paraId="4183314E" w14:textId="736201ED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3F9CE5FD" w14:textId="77777777" w:rsidTr="00FD3EDF">
        <w:trPr>
          <w:jc w:val="center"/>
        </w:trPr>
        <w:tc>
          <w:tcPr>
            <w:tcW w:w="839" w:type="dxa"/>
            <w:vAlign w:val="center"/>
          </w:tcPr>
          <w:p w14:paraId="6E834F3A" w14:textId="56E41F46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4.12</w:t>
            </w:r>
          </w:p>
        </w:tc>
        <w:tc>
          <w:tcPr>
            <w:tcW w:w="3827" w:type="dxa"/>
            <w:vAlign w:val="center"/>
          </w:tcPr>
          <w:p w14:paraId="3E8366D2" w14:textId="2F02CF0C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Bandwidth</w:t>
            </w:r>
          </w:p>
        </w:tc>
        <w:tc>
          <w:tcPr>
            <w:tcW w:w="1566" w:type="dxa"/>
            <w:vAlign w:val="center"/>
          </w:tcPr>
          <w:p w14:paraId="520C5EC7" w14:textId="39FCEF84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09A686BF" w14:textId="77777777" w:rsidTr="00FD3EDF">
        <w:trPr>
          <w:jc w:val="center"/>
        </w:trPr>
        <w:tc>
          <w:tcPr>
            <w:tcW w:w="839" w:type="dxa"/>
            <w:vAlign w:val="center"/>
          </w:tcPr>
          <w:p w14:paraId="012FF1C2" w14:textId="3F7D171C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4.13</w:t>
            </w:r>
          </w:p>
        </w:tc>
        <w:tc>
          <w:tcPr>
            <w:tcW w:w="3827" w:type="dxa"/>
            <w:vAlign w:val="center"/>
          </w:tcPr>
          <w:p w14:paraId="275A4099" w14:textId="0CF316C2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Sensing-related capabilities</w:t>
            </w:r>
          </w:p>
        </w:tc>
        <w:tc>
          <w:tcPr>
            <w:tcW w:w="1566" w:type="dxa"/>
            <w:vAlign w:val="center"/>
          </w:tcPr>
          <w:p w14:paraId="4C6CEBFF" w14:textId="5B1F8959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5CBE7745" w14:textId="77777777" w:rsidTr="00FD3EDF">
        <w:trPr>
          <w:jc w:val="center"/>
        </w:trPr>
        <w:tc>
          <w:tcPr>
            <w:tcW w:w="839" w:type="dxa"/>
            <w:vAlign w:val="center"/>
          </w:tcPr>
          <w:p w14:paraId="548BF4CC" w14:textId="24406B1F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4.14</w:t>
            </w:r>
          </w:p>
        </w:tc>
        <w:tc>
          <w:tcPr>
            <w:tcW w:w="3827" w:type="dxa"/>
            <w:vAlign w:val="center"/>
          </w:tcPr>
          <w:p w14:paraId="183B24C8" w14:textId="01EF33E3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AI-related capabilities</w:t>
            </w:r>
          </w:p>
        </w:tc>
        <w:tc>
          <w:tcPr>
            <w:tcW w:w="1566" w:type="dxa"/>
            <w:vAlign w:val="center"/>
          </w:tcPr>
          <w:p w14:paraId="2FFECAFF" w14:textId="37EA261B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(Qualitative)</w:t>
            </w:r>
          </w:p>
        </w:tc>
      </w:tr>
      <w:tr w:rsidR="007C68E7" w14:paraId="1C54B1EB" w14:textId="77777777" w:rsidTr="00FD3EDF">
        <w:trPr>
          <w:jc w:val="center"/>
        </w:trPr>
        <w:tc>
          <w:tcPr>
            <w:tcW w:w="839" w:type="dxa"/>
            <w:vAlign w:val="center"/>
          </w:tcPr>
          <w:p w14:paraId="11F27BB8" w14:textId="5AAAB03D" w:rsidR="007C68E7" w:rsidRDefault="007C68E7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4.15</w:t>
            </w:r>
          </w:p>
        </w:tc>
        <w:tc>
          <w:tcPr>
            <w:tcW w:w="3827" w:type="dxa"/>
            <w:vAlign w:val="center"/>
          </w:tcPr>
          <w:p w14:paraId="1E80F9AB" w14:textId="57B922BF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7C68E7">
              <w:rPr>
                <w:lang w:val="en-US"/>
              </w:rPr>
              <w:t>Energy Efficiency for sustainability</w:t>
            </w:r>
          </w:p>
        </w:tc>
        <w:tc>
          <w:tcPr>
            <w:tcW w:w="1566" w:type="dxa"/>
            <w:vAlign w:val="center"/>
          </w:tcPr>
          <w:p w14:paraId="54F6D4F6" w14:textId="05CE1DC5" w:rsidR="007C68E7" w:rsidRPr="00EB6A52" w:rsidRDefault="007C68E7" w:rsidP="00FD3EDF">
            <w:pPr>
              <w:pStyle w:val="a0"/>
              <w:spacing w:after="100" w:afterAutospacing="1"/>
              <w:jc w:val="center"/>
              <w:rPr>
                <w:lang w:val="en-US"/>
              </w:rPr>
            </w:pPr>
            <w:r w:rsidRPr="00EB6A52">
              <w:rPr>
                <w:lang w:val="en-US"/>
              </w:rPr>
              <w:t>(Quantitative)</w:t>
            </w:r>
          </w:p>
        </w:tc>
      </w:tr>
      <w:tr w:rsidR="007C68E7" w14:paraId="1C0E0629" w14:textId="77777777" w:rsidTr="00FD3EDF">
        <w:trPr>
          <w:jc w:val="center"/>
        </w:trPr>
        <w:tc>
          <w:tcPr>
            <w:tcW w:w="839" w:type="dxa"/>
            <w:vAlign w:val="center"/>
          </w:tcPr>
          <w:p w14:paraId="783A41F6" w14:textId="0D7113CC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[4.16]</w:t>
            </w:r>
          </w:p>
        </w:tc>
        <w:tc>
          <w:tcPr>
            <w:tcW w:w="3827" w:type="dxa"/>
            <w:vAlign w:val="center"/>
          </w:tcPr>
          <w:p w14:paraId="6E01600B" w14:textId="1F663FF2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[Security]</w:t>
            </w:r>
          </w:p>
        </w:tc>
        <w:tc>
          <w:tcPr>
            <w:tcW w:w="1566" w:type="dxa"/>
            <w:vAlign w:val="center"/>
          </w:tcPr>
          <w:p w14:paraId="45CE7291" w14:textId="2FDDB2EE" w:rsidR="007C68E7" w:rsidRPr="007C68E7" w:rsidRDefault="007C68E7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68E7">
              <w:rPr>
                <w:rFonts w:hint="eastAsia"/>
                <w:i/>
                <w:iCs/>
                <w:lang w:val="en-US" w:eastAsia="ja-JP"/>
              </w:rPr>
              <w:t>[TBD]</w:t>
            </w:r>
          </w:p>
        </w:tc>
      </w:tr>
      <w:tr w:rsidR="007C68E7" w14:paraId="3E8C0E21" w14:textId="77777777" w:rsidTr="00FD3EDF">
        <w:trPr>
          <w:jc w:val="center"/>
        </w:trPr>
        <w:tc>
          <w:tcPr>
            <w:tcW w:w="839" w:type="dxa"/>
            <w:vAlign w:val="center"/>
          </w:tcPr>
          <w:p w14:paraId="3E3B677E" w14:textId="02030F04" w:rsidR="007C68E7" w:rsidRDefault="007C501A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4.17</w:t>
            </w:r>
          </w:p>
        </w:tc>
        <w:tc>
          <w:tcPr>
            <w:tcW w:w="3827" w:type="dxa"/>
            <w:vAlign w:val="center"/>
          </w:tcPr>
          <w:p w14:paraId="07FE25F1" w14:textId="2C2FD48A" w:rsidR="007C68E7" w:rsidRPr="007C68E7" w:rsidRDefault="007C501A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Resilience</w:t>
            </w:r>
          </w:p>
        </w:tc>
        <w:tc>
          <w:tcPr>
            <w:tcW w:w="1566" w:type="dxa"/>
            <w:vAlign w:val="center"/>
          </w:tcPr>
          <w:p w14:paraId="3C0247DF" w14:textId="63419CE0" w:rsidR="007C68E7" w:rsidRPr="00EB6A52" w:rsidRDefault="007C501A" w:rsidP="00FD3EDF">
            <w:pPr>
              <w:pStyle w:val="a0"/>
              <w:spacing w:after="100" w:afterAutospacing="1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(Qualitative)</w:t>
            </w:r>
          </w:p>
        </w:tc>
      </w:tr>
      <w:tr w:rsidR="007C68E7" w14:paraId="4ADA9C30" w14:textId="77777777" w:rsidTr="00FD3EDF">
        <w:trPr>
          <w:jc w:val="center"/>
        </w:trPr>
        <w:tc>
          <w:tcPr>
            <w:tcW w:w="839" w:type="dxa"/>
            <w:vAlign w:val="center"/>
          </w:tcPr>
          <w:p w14:paraId="1E06D2D8" w14:textId="07E05C39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501A">
              <w:rPr>
                <w:rFonts w:hint="eastAsia"/>
                <w:i/>
                <w:iCs/>
                <w:lang w:val="en-US" w:eastAsia="ja-JP"/>
              </w:rPr>
              <w:t>[4.X]</w:t>
            </w:r>
          </w:p>
        </w:tc>
        <w:tc>
          <w:tcPr>
            <w:tcW w:w="3827" w:type="dxa"/>
            <w:vAlign w:val="center"/>
          </w:tcPr>
          <w:p w14:paraId="06D36D8E" w14:textId="5E252A8E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>
              <w:rPr>
                <w:rFonts w:hint="eastAsia"/>
                <w:i/>
                <w:iCs/>
                <w:lang w:val="en-US" w:eastAsia="ja-JP"/>
              </w:rPr>
              <w:t>[</w:t>
            </w:r>
            <w:r w:rsidRPr="007C501A">
              <w:rPr>
                <w:rFonts w:hint="eastAsia"/>
                <w:i/>
                <w:iCs/>
                <w:lang w:val="en-US" w:eastAsia="ja-JP"/>
              </w:rPr>
              <w:t>Extended Connectivity</w:t>
            </w:r>
            <w:r>
              <w:rPr>
                <w:rFonts w:hint="eastAsia"/>
                <w:i/>
                <w:iCs/>
                <w:lang w:val="en-US" w:eastAsia="ja-JP"/>
              </w:rPr>
              <w:t>]</w:t>
            </w:r>
          </w:p>
        </w:tc>
        <w:tc>
          <w:tcPr>
            <w:tcW w:w="1566" w:type="dxa"/>
            <w:vAlign w:val="center"/>
          </w:tcPr>
          <w:p w14:paraId="781EA631" w14:textId="62CCC37C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501A">
              <w:rPr>
                <w:rFonts w:hint="eastAsia"/>
                <w:i/>
                <w:iCs/>
                <w:lang w:val="en-US" w:eastAsia="ja-JP"/>
              </w:rPr>
              <w:t>[TBD]</w:t>
            </w:r>
          </w:p>
        </w:tc>
      </w:tr>
      <w:tr w:rsidR="007C68E7" w14:paraId="29F20741" w14:textId="77777777" w:rsidTr="00FD3EDF">
        <w:trPr>
          <w:jc w:val="center"/>
        </w:trPr>
        <w:tc>
          <w:tcPr>
            <w:tcW w:w="839" w:type="dxa"/>
            <w:vAlign w:val="center"/>
          </w:tcPr>
          <w:p w14:paraId="3FA6B6FA" w14:textId="58A9F7CF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501A">
              <w:rPr>
                <w:rFonts w:hint="eastAsia"/>
                <w:i/>
                <w:iCs/>
                <w:lang w:val="en-US" w:eastAsia="ja-JP"/>
              </w:rPr>
              <w:t>[4.18]</w:t>
            </w:r>
          </w:p>
        </w:tc>
        <w:tc>
          <w:tcPr>
            <w:tcW w:w="3827" w:type="dxa"/>
            <w:vAlign w:val="center"/>
          </w:tcPr>
          <w:p w14:paraId="79C670FB" w14:textId="08450FC2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501A">
              <w:rPr>
                <w:rFonts w:hint="eastAsia"/>
                <w:i/>
                <w:iCs/>
                <w:lang w:val="en-US" w:eastAsia="ja-JP"/>
              </w:rPr>
              <w:t>[Interoperability]</w:t>
            </w:r>
          </w:p>
        </w:tc>
        <w:tc>
          <w:tcPr>
            <w:tcW w:w="1566" w:type="dxa"/>
            <w:vAlign w:val="center"/>
          </w:tcPr>
          <w:p w14:paraId="4CE9370F" w14:textId="4586F9E7" w:rsidR="007C68E7" w:rsidRPr="007C501A" w:rsidRDefault="007C501A" w:rsidP="00FD3EDF">
            <w:pPr>
              <w:pStyle w:val="a0"/>
              <w:spacing w:after="100" w:afterAutospacing="1"/>
              <w:jc w:val="center"/>
              <w:rPr>
                <w:i/>
                <w:iCs/>
                <w:lang w:val="en-US" w:eastAsia="ja-JP"/>
              </w:rPr>
            </w:pPr>
            <w:r w:rsidRPr="007C501A">
              <w:rPr>
                <w:rFonts w:hint="eastAsia"/>
                <w:i/>
                <w:iCs/>
                <w:lang w:val="en-US" w:eastAsia="ja-JP"/>
              </w:rPr>
              <w:t>[TBD]</w:t>
            </w:r>
          </w:p>
        </w:tc>
      </w:tr>
    </w:tbl>
    <w:p w14:paraId="28348F3A" w14:textId="77777777" w:rsidR="003645EA" w:rsidRDefault="003645EA" w:rsidP="00FB23B7">
      <w:pPr>
        <w:rPr>
          <w:sz w:val="21"/>
          <w:szCs w:val="21"/>
          <w:lang w:val="en-US" w:eastAsia="ja-JP"/>
        </w:rPr>
      </w:pPr>
    </w:p>
    <w:p w14:paraId="49D24473" w14:textId="4805456D" w:rsidR="00FB23B7" w:rsidRPr="005E7270" w:rsidRDefault="00FB23B7" w:rsidP="005E7270">
      <w:pPr>
        <w:pStyle w:val="a0"/>
        <w:spacing w:after="100" w:afterAutospacing="1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val="en-US" w:eastAsia="ja-JP"/>
        </w:rPr>
        <w:lastRenderedPageBreak/>
        <w:t xml:space="preserve">For Resilience, </w:t>
      </w:r>
      <w:r w:rsidR="00E06B72">
        <w:rPr>
          <w:rFonts w:hint="eastAsia"/>
          <w:sz w:val="21"/>
          <w:szCs w:val="21"/>
          <w:lang w:val="en-US" w:eastAsia="ja-JP"/>
        </w:rPr>
        <w:t>w</w:t>
      </w:r>
      <w:r w:rsidR="00E06B72" w:rsidRPr="00E06B72">
        <w:rPr>
          <w:sz w:val="21"/>
          <w:szCs w:val="21"/>
          <w:lang w:val="en-US" w:eastAsia="ja-JP"/>
        </w:rPr>
        <w:t xml:space="preserve">hile the current agreement is to define only </w:t>
      </w:r>
      <w:r w:rsidR="00E06B72">
        <w:rPr>
          <w:rFonts w:hint="eastAsia"/>
          <w:sz w:val="21"/>
          <w:szCs w:val="21"/>
          <w:lang w:val="en-US" w:eastAsia="ja-JP"/>
        </w:rPr>
        <w:t xml:space="preserve">it </w:t>
      </w:r>
      <w:r w:rsidR="00E06B72" w:rsidRPr="00E06B72">
        <w:rPr>
          <w:sz w:val="21"/>
          <w:szCs w:val="21"/>
          <w:lang w:val="en-US" w:eastAsia="ja-JP"/>
        </w:rPr>
        <w:t xml:space="preserve">as a qualitative TPR, an </w:t>
      </w:r>
      <w:r w:rsidR="00E06B72" w:rsidRPr="005E7270">
        <w:rPr>
          <w:sz w:val="21"/>
          <w:szCs w:val="21"/>
          <w:lang w:eastAsia="ja-JP"/>
        </w:rPr>
        <w:t>alternative approach is also being considered to define "Resilience and Extended Connectivity," which incorporates the concept of Extended Connectivity</w:t>
      </w:r>
      <w:r w:rsidR="001C2CAD" w:rsidRPr="005E7270">
        <w:rPr>
          <w:sz w:val="21"/>
          <w:szCs w:val="21"/>
          <w:lang w:eastAsia="ja-JP"/>
        </w:rPr>
        <w:t xml:space="preserve"> into Resilience</w:t>
      </w:r>
      <w:r w:rsidR="00E06B72" w:rsidRPr="005E7270">
        <w:rPr>
          <w:sz w:val="21"/>
          <w:szCs w:val="21"/>
          <w:lang w:eastAsia="ja-JP"/>
        </w:rPr>
        <w:t xml:space="preserve">, as </w:t>
      </w:r>
      <w:r w:rsidR="001C2CAD" w:rsidRPr="005E7270">
        <w:rPr>
          <w:sz w:val="21"/>
          <w:szCs w:val="21"/>
          <w:lang w:eastAsia="ja-JP"/>
        </w:rPr>
        <w:t>a</w:t>
      </w:r>
      <w:r w:rsidR="00E06B72" w:rsidRPr="005E7270">
        <w:rPr>
          <w:sz w:val="21"/>
          <w:szCs w:val="21"/>
          <w:lang w:eastAsia="ja-JP"/>
        </w:rPr>
        <w:t xml:space="preserve"> qualitative </w:t>
      </w:r>
      <w:r w:rsidR="001C2CAD" w:rsidRPr="005E7270">
        <w:rPr>
          <w:sz w:val="21"/>
          <w:szCs w:val="21"/>
          <w:lang w:eastAsia="ja-JP"/>
        </w:rPr>
        <w:t xml:space="preserve">TPR </w:t>
      </w:r>
      <w:r w:rsidR="00E06B72" w:rsidRPr="005E7270">
        <w:rPr>
          <w:sz w:val="21"/>
          <w:szCs w:val="21"/>
          <w:lang w:eastAsia="ja-JP"/>
        </w:rPr>
        <w:t>instead.</w:t>
      </w:r>
    </w:p>
    <w:p w14:paraId="27046CF1" w14:textId="32A3B2EF" w:rsidR="003D3C2B" w:rsidRDefault="003D3C2B">
      <w:pPr>
        <w:pStyle w:val="a0"/>
        <w:spacing w:after="100" w:afterAutospacing="1"/>
        <w:rPr>
          <w:sz w:val="21"/>
          <w:szCs w:val="21"/>
          <w:lang w:eastAsia="ja-JP"/>
        </w:rPr>
      </w:pPr>
      <w:r w:rsidRPr="003D3C2B">
        <w:rPr>
          <w:sz w:val="21"/>
          <w:szCs w:val="21"/>
          <w:lang w:eastAsia="ja-JP"/>
        </w:rPr>
        <w:t xml:space="preserve">It should be noted that at the </w:t>
      </w:r>
      <w:r>
        <w:rPr>
          <w:rFonts w:hint="eastAsia"/>
          <w:sz w:val="21"/>
          <w:szCs w:val="21"/>
          <w:lang w:eastAsia="ja-JP"/>
        </w:rPr>
        <w:t>49</w:t>
      </w:r>
      <w:r w:rsidRPr="005E7270">
        <w:rPr>
          <w:sz w:val="21"/>
          <w:szCs w:val="21"/>
          <w:vertAlign w:val="superscript"/>
          <w:lang w:eastAsia="ja-JP"/>
        </w:rPr>
        <w:t>th</w:t>
      </w:r>
      <w:r>
        <w:rPr>
          <w:rFonts w:hint="eastAsia"/>
          <w:sz w:val="21"/>
          <w:szCs w:val="21"/>
          <w:lang w:eastAsia="ja-JP"/>
        </w:rPr>
        <w:t xml:space="preserve"> </w:t>
      </w:r>
      <w:r w:rsidRPr="003D3C2B">
        <w:rPr>
          <w:sz w:val="21"/>
          <w:szCs w:val="21"/>
          <w:lang w:eastAsia="ja-JP"/>
        </w:rPr>
        <w:t>WP 5D meeting, the deadline for contributions from external organizations, including 3GPP, was closed</w:t>
      </w:r>
      <w:r w:rsidR="008127EA">
        <w:rPr>
          <w:rFonts w:hint="eastAsia"/>
          <w:sz w:val="21"/>
          <w:szCs w:val="21"/>
          <w:lang w:eastAsia="ja-JP"/>
        </w:rPr>
        <w:t xml:space="preserve">. </w:t>
      </w:r>
      <w:r w:rsidR="008127EA">
        <w:rPr>
          <w:sz w:val="21"/>
          <w:szCs w:val="21"/>
          <w:lang w:eastAsia="ja-JP"/>
        </w:rPr>
        <w:t>Furthermore</w:t>
      </w:r>
      <w:r w:rsidR="008127EA">
        <w:rPr>
          <w:rFonts w:hint="eastAsia"/>
          <w:sz w:val="21"/>
          <w:szCs w:val="21"/>
          <w:lang w:eastAsia="ja-JP"/>
        </w:rPr>
        <w:t>, WP 5D has not requested</w:t>
      </w:r>
      <w:r>
        <w:rPr>
          <w:rFonts w:hint="eastAsia"/>
          <w:sz w:val="21"/>
          <w:szCs w:val="21"/>
          <w:lang w:eastAsia="ja-JP"/>
        </w:rPr>
        <w:t xml:space="preserve"> </w:t>
      </w:r>
      <w:r w:rsidRPr="003D3C2B">
        <w:rPr>
          <w:sz w:val="21"/>
          <w:szCs w:val="21"/>
          <w:lang w:eastAsia="ja-JP"/>
        </w:rPr>
        <w:t>any additional contributions from external organizations.</w:t>
      </w:r>
    </w:p>
    <w:p w14:paraId="1677C7DF" w14:textId="5A6292F4" w:rsidR="00551262" w:rsidRPr="00553801" w:rsidRDefault="00B66A40" w:rsidP="00B445A4">
      <w:pPr>
        <w:pStyle w:val="1"/>
        <w:rPr>
          <w:rFonts w:ascii="Times New Roman" w:hAnsi="Times New Roman"/>
          <w:szCs w:val="24"/>
          <w:lang w:val="en-US"/>
        </w:rPr>
      </w:pPr>
      <w:r w:rsidRPr="005E7270">
        <w:rPr>
          <w:rFonts w:ascii="Times New Roman" w:hAnsi="Times New Roman"/>
          <w:szCs w:val="24"/>
          <w:lang w:eastAsia="ja-JP"/>
        </w:rPr>
        <w:t>Discussion</w:t>
      </w:r>
    </w:p>
    <w:p w14:paraId="617D5F32" w14:textId="0E31A25E" w:rsidR="003D3C2B" w:rsidRDefault="003D3C2B" w:rsidP="003F70BC">
      <w:pPr>
        <w:pStyle w:val="a0"/>
        <w:spacing w:after="100" w:afterAutospacing="1"/>
        <w:rPr>
          <w:sz w:val="21"/>
          <w:szCs w:val="21"/>
          <w:lang w:val="en-US" w:eastAsia="ja-JP"/>
        </w:rPr>
      </w:pPr>
      <w:r w:rsidRPr="003D3C2B">
        <w:rPr>
          <w:sz w:val="21"/>
          <w:szCs w:val="21"/>
          <w:lang w:val="en-US" w:eastAsia="ja-JP"/>
        </w:rPr>
        <w:t>While WP 5D is not soliciting further contributions from external organizations, 3GPP may still provide input via a Liaison Statement (LS).</w:t>
      </w:r>
    </w:p>
    <w:p w14:paraId="2705C280" w14:textId="37B96F5F" w:rsidR="003D69D3" w:rsidRDefault="003D3C2B" w:rsidP="003F70BC">
      <w:pPr>
        <w:pStyle w:val="a0"/>
        <w:spacing w:after="100" w:afterAutospacing="1"/>
        <w:rPr>
          <w:sz w:val="21"/>
          <w:szCs w:val="21"/>
          <w:lang w:val="en-US" w:eastAsia="ja-JP"/>
        </w:rPr>
      </w:pPr>
      <w:r w:rsidRPr="003D3C2B">
        <w:rPr>
          <w:sz w:val="21"/>
          <w:szCs w:val="21"/>
          <w:lang w:val="en-US" w:eastAsia="ja-JP"/>
        </w:rPr>
        <w:t>Following the last WP 5D meeting, two options are currently under consideration for the Resilience TPR:</w:t>
      </w:r>
      <w:r w:rsidDel="003D3C2B">
        <w:rPr>
          <w:rFonts w:hint="eastAsia"/>
          <w:sz w:val="21"/>
          <w:szCs w:val="21"/>
          <w:lang w:val="en-US" w:eastAsia="ja-JP"/>
        </w:rPr>
        <w:t xml:space="preserve"> </w:t>
      </w:r>
    </w:p>
    <w:p w14:paraId="2C1473AD" w14:textId="59BCA641" w:rsidR="00B23FD1" w:rsidRPr="005E7270" w:rsidRDefault="003F70BC" w:rsidP="003F70BC">
      <w:pPr>
        <w:pStyle w:val="a0"/>
        <w:numPr>
          <w:ilvl w:val="0"/>
          <w:numId w:val="45"/>
        </w:numPr>
        <w:spacing w:after="100" w:afterAutospacing="1"/>
        <w:rPr>
          <w:sz w:val="21"/>
          <w:szCs w:val="21"/>
          <w:lang w:val="en-US" w:eastAsia="ja-JP"/>
        </w:rPr>
      </w:pPr>
      <w:r w:rsidRPr="005E7270">
        <w:rPr>
          <w:sz w:val="21"/>
          <w:szCs w:val="21"/>
          <w:lang w:val="en-US" w:eastAsia="ja-JP"/>
        </w:rPr>
        <w:t>Option 1</w:t>
      </w:r>
      <w:r w:rsidR="00984942" w:rsidRPr="005E7270">
        <w:rPr>
          <w:sz w:val="21"/>
          <w:szCs w:val="21"/>
          <w:lang w:val="en-US" w:eastAsia="ja-JP"/>
        </w:rPr>
        <w:t>:</w:t>
      </w:r>
      <w:r w:rsidRPr="005E7270">
        <w:rPr>
          <w:sz w:val="21"/>
          <w:szCs w:val="21"/>
          <w:lang w:val="en-US" w:eastAsia="ja-JP"/>
        </w:rPr>
        <w:t xml:space="preserve"> Define</w:t>
      </w:r>
      <w:r w:rsidR="00984942" w:rsidRPr="005E7270">
        <w:rPr>
          <w:sz w:val="21"/>
          <w:szCs w:val="21"/>
          <w:lang w:val="en-US" w:eastAsia="ja-JP"/>
        </w:rPr>
        <w:t xml:space="preserve"> Resilience as a qualitative TPR</w:t>
      </w:r>
    </w:p>
    <w:p w14:paraId="4A225458" w14:textId="02163CF7" w:rsidR="003F70BC" w:rsidRPr="005E7270" w:rsidRDefault="003F70BC" w:rsidP="005E7270">
      <w:pPr>
        <w:pStyle w:val="a0"/>
        <w:numPr>
          <w:ilvl w:val="0"/>
          <w:numId w:val="45"/>
        </w:numPr>
        <w:spacing w:after="100" w:afterAutospacing="1"/>
        <w:rPr>
          <w:sz w:val="21"/>
          <w:szCs w:val="21"/>
          <w:lang w:val="en-US" w:eastAsia="ja-JP"/>
        </w:rPr>
      </w:pPr>
      <w:r w:rsidRPr="005E7270">
        <w:rPr>
          <w:sz w:val="21"/>
          <w:szCs w:val="21"/>
          <w:lang w:val="en-US" w:eastAsia="ja-JP"/>
        </w:rPr>
        <w:t>Option 2: M</w:t>
      </w:r>
      <w:r w:rsidR="00AA3DE6">
        <w:rPr>
          <w:rFonts w:hint="eastAsia"/>
          <w:sz w:val="21"/>
          <w:szCs w:val="21"/>
          <w:lang w:val="en-US" w:eastAsia="ja-JP"/>
        </w:rPr>
        <w:t>e</w:t>
      </w:r>
      <w:r w:rsidRPr="005E7270">
        <w:rPr>
          <w:sz w:val="21"/>
          <w:szCs w:val="21"/>
          <w:lang w:val="en-US" w:eastAsia="ja-JP"/>
        </w:rPr>
        <w:t>rge Extended Connectivity into Resilience as “Resilience and Extended Connectivity,” a qualitative TPR</w:t>
      </w:r>
    </w:p>
    <w:p w14:paraId="7F472D34" w14:textId="43AF1A51" w:rsidR="00C2575B" w:rsidRPr="00C2575B" w:rsidRDefault="00C2575B" w:rsidP="003F70BC">
      <w:pPr>
        <w:pStyle w:val="a0"/>
        <w:spacing w:after="100" w:afterAutospacing="1"/>
        <w:rPr>
          <w:sz w:val="21"/>
          <w:szCs w:val="21"/>
          <w:lang w:val="en-US" w:eastAsia="ja-JP"/>
        </w:rPr>
      </w:pPr>
      <w:r w:rsidRPr="00C2575B">
        <w:rPr>
          <w:sz w:val="21"/>
          <w:szCs w:val="21"/>
          <w:lang w:val="en-US" w:eastAsia="ja-JP"/>
        </w:rPr>
        <w:t xml:space="preserve">SoftBank </w:t>
      </w:r>
      <w:r w:rsidR="003F70BC">
        <w:rPr>
          <w:rFonts w:hint="eastAsia"/>
          <w:sz w:val="21"/>
          <w:szCs w:val="21"/>
          <w:lang w:val="en-US" w:eastAsia="ja-JP"/>
        </w:rPr>
        <w:t>supports Option 2</w:t>
      </w:r>
      <w:r w:rsidR="007D017E">
        <w:rPr>
          <w:rFonts w:hint="eastAsia"/>
          <w:sz w:val="21"/>
          <w:szCs w:val="21"/>
          <w:lang w:val="en-US" w:eastAsia="ja-JP"/>
        </w:rPr>
        <w:t>, as it</w:t>
      </w:r>
      <w:r w:rsidR="003F70BC">
        <w:rPr>
          <w:rFonts w:hint="eastAsia"/>
          <w:sz w:val="21"/>
          <w:szCs w:val="21"/>
          <w:lang w:val="en-US" w:eastAsia="ja-JP"/>
        </w:rPr>
        <w:t xml:space="preserve"> </w:t>
      </w:r>
      <w:r w:rsidRPr="00C2575B">
        <w:rPr>
          <w:sz w:val="21"/>
          <w:szCs w:val="21"/>
          <w:lang w:val="en-US" w:eastAsia="ja-JP"/>
        </w:rPr>
        <w:t>reflect</w:t>
      </w:r>
      <w:r w:rsidR="000A08EA">
        <w:rPr>
          <w:rFonts w:hint="eastAsia"/>
          <w:sz w:val="21"/>
          <w:szCs w:val="21"/>
          <w:lang w:val="en-US" w:eastAsia="ja-JP"/>
        </w:rPr>
        <w:t>s</w:t>
      </w:r>
      <w:r w:rsidRPr="00C2575B">
        <w:rPr>
          <w:sz w:val="21"/>
          <w:szCs w:val="21"/>
          <w:lang w:val="en-US" w:eastAsia="ja-JP"/>
        </w:rPr>
        <w:t xml:space="preserve"> the importance of supporting the Ubiquitous Connectivity (UC) usage scenario, which is one of the six key scenarios defined in Recommendation ITU-R M.2160 [3]. The UC usage scenario aims to bridge the digital divide and </w:t>
      </w:r>
      <w:r w:rsidR="0030456F">
        <w:rPr>
          <w:rFonts w:hint="eastAsia"/>
          <w:sz w:val="21"/>
          <w:szCs w:val="21"/>
          <w:lang w:val="en-US" w:eastAsia="ja-JP"/>
        </w:rPr>
        <w:t>contribute to</w:t>
      </w:r>
      <w:r w:rsidRPr="00C2575B">
        <w:rPr>
          <w:sz w:val="21"/>
          <w:szCs w:val="21"/>
          <w:lang w:val="en-US" w:eastAsia="ja-JP"/>
        </w:rPr>
        <w:t xml:space="preserve"> the achievement of the SDGs by enabling access to communication services in areas that are currently underserved or unserved due to geographical constraints.</w:t>
      </w:r>
    </w:p>
    <w:p w14:paraId="689E2657" w14:textId="32FC9CBC" w:rsidR="00C2575B" w:rsidRPr="00C2575B" w:rsidRDefault="00C2575B" w:rsidP="003F70BC">
      <w:pPr>
        <w:pStyle w:val="a0"/>
        <w:spacing w:after="100" w:afterAutospacing="1"/>
        <w:rPr>
          <w:sz w:val="21"/>
          <w:szCs w:val="21"/>
          <w:lang w:val="en-US" w:eastAsia="ja-JP"/>
        </w:rPr>
      </w:pPr>
      <w:r w:rsidRPr="00C2575B">
        <w:rPr>
          <w:sz w:val="21"/>
          <w:szCs w:val="21"/>
          <w:lang w:val="en-US" w:eastAsia="ja-JP"/>
        </w:rPr>
        <w:t xml:space="preserve">Without a TPR that directly supports the UC usage scenario, there could be a perception that the mobile industry is not sufficiently addressing the digital divide. By incorporating EC into Resilience and revising it as “Resilience and Extended Connectivity,” </w:t>
      </w:r>
      <w:r w:rsidR="00F364F3">
        <w:rPr>
          <w:rFonts w:hint="eastAsia"/>
          <w:sz w:val="21"/>
          <w:szCs w:val="21"/>
          <w:lang w:val="en-US" w:eastAsia="ja-JP"/>
        </w:rPr>
        <w:t>SoftBank believe</w:t>
      </w:r>
      <w:r w:rsidR="0025513A">
        <w:rPr>
          <w:rFonts w:hint="eastAsia"/>
          <w:sz w:val="21"/>
          <w:szCs w:val="21"/>
          <w:lang w:val="en-US" w:eastAsia="ja-JP"/>
        </w:rPr>
        <w:t>s</w:t>
      </w:r>
      <w:r w:rsidR="00F364F3">
        <w:rPr>
          <w:rFonts w:hint="eastAsia"/>
          <w:sz w:val="21"/>
          <w:szCs w:val="21"/>
          <w:lang w:val="en-US" w:eastAsia="ja-JP"/>
        </w:rPr>
        <w:t xml:space="preserve"> that </w:t>
      </w:r>
      <w:r w:rsidR="0025513A">
        <w:rPr>
          <w:rFonts w:hint="eastAsia"/>
          <w:sz w:val="21"/>
          <w:szCs w:val="21"/>
          <w:lang w:val="en-US" w:eastAsia="ja-JP"/>
        </w:rPr>
        <w:t xml:space="preserve">the </w:t>
      </w:r>
      <w:r>
        <w:rPr>
          <w:rFonts w:hint="eastAsia"/>
          <w:sz w:val="21"/>
          <w:szCs w:val="21"/>
          <w:lang w:val="en-US" w:eastAsia="ja-JP"/>
        </w:rPr>
        <w:t>mobile industry</w:t>
      </w:r>
      <w:r w:rsidRPr="00C2575B">
        <w:rPr>
          <w:sz w:val="21"/>
          <w:szCs w:val="21"/>
          <w:lang w:val="en-US" w:eastAsia="ja-JP"/>
        </w:rPr>
        <w:t xml:space="preserve"> can clearly demonstrate its commitment to both</w:t>
      </w:r>
      <w:r>
        <w:rPr>
          <w:rFonts w:hint="eastAsia"/>
          <w:sz w:val="21"/>
          <w:szCs w:val="21"/>
          <w:lang w:val="en-US" w:eastAsia="ja-JP"/>
        </w:rPr>
        <w:t xml:space="preserve"> </w:t>
      </w:r>
      <w:r w:rsidR="0025513A">
        <w:rPr>
          <w:rFonts w:hint="eastAsia"/>
          <w:sz w:val="21"/>
          <w:szCs w:val="21"/>
          <w:lang w:val="en-US" w:eastAsia="ja-JP"/>
        </w:rPr>
        <w:t>Resilience and EC</w:t>
      </w:r>
      <w:r w:rsidRPr="00C2575B">
        <w:rPr>
          <w:sz w:val="21"/>
          <w:szCs w:val="21"/>
          <w:lang w:val="en-US" w:eastAsia="ja-JP"/>
        </w:rPr>
        <w:t>, in line with the direction concluded at the WP 5D #49 meeting.</w:t>
      </w:r>
    </w:p>
    <w:p w14:paraId="7B99BB45" w14:textId="7F487F47" w:rsidR="007D017E" w:rsidRDefault="007D017E" w:rsidP="005C05AD">
      <w:pPr>
        <w:rPr>
          <w:b/>
          <w:bCs/>
          <w:sz w:val="21"/>
          <w:szCs w:val="21"/>
          <w:lang w:val="en-US" w:eastAsia="ja-JP"/>
        </w:rPr>
      </w:pPr>
      <w:r w:rsidRPr="007D017E">
        <w:rPr>
          <w:b/>
          <w:bCs/>
          <w:sz w:val="21"/>
          <w:szCs w:val="21"/>
          <w:lang w:val="en-US" w:eastAsia="ja-JP"/>
        </w:rPr>
        <w:t>Proposal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 xml:space="preserve"> 1: </w:t>
      </w:r>
      <w:r w:rsidR="005C05AD" w:rsidRPr="005C05AD">
        <w:rPr>
          <w:b/>
          <w:bCs/>
          <w:sz w:val="21"/>
          <w:szCs w:val="21"/>
          <w:lang w:val="en-US" w:eastAsia="ja-JP"/>
        </w:rPr>
        <w:t xml:space="preserve">If 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>RAN#109</w:t>
      </w:r>
      <w:r w:rsidR="005C05AD" w:rsidRPr="005C05AD">
        <w:rPr>
          <w:b/>
          <w:bCs/>
          <w:sz w:val="21"/>
          <w:szCs w:val="21"/>
          <w:lang w:val="en-US" w:eastAsia="ja-JP"/>
        </w:rPr>
        <w:t xml:space="preserve"> agrees to send an LS to WP 5D, 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 xml:space="preserve">the Resilience TPR </w:t>
      </w:r>
      <w:r w:rsidR="005C05AD">
        <w:rPr>
          <w:b/>
          <w:bCs/>
          <w:sz w:val="21"/>
          <w:szCs w:val="21"/>
          <w:lang w:val="en-US" w:eastAsia="ja-JP"/>
        </w:rPr>
        <w:t>should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 xml:space="preserve"> be </w:t>
      </w:r>
      <w:r w:rsidR="005C05AD">
        <w:rPr>
          <w:b/>
          <w:bCs/>
          <w:sz w:val="21"/>
          <w:szCs w:val="21"/>
          <w:lang w:val="en-US" w:eastAsia="ja-JP"/>
        </w:rPr>
        <w:t>merged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 xml:space="preserve"> with </w:t>
      </w:r>
      <w:r w:rsidRPr="007D017E">
        <w:rPr>
          <w:b/>
          <w:bCs/>
          <w:sz w:val="21"/>
          <w:szCs w:val="21"/>
          <w:lang w:val="en-US" w:eastAsia="ja-JP"/>
        </w:rPr>
        <w:t xml:space="preserve">Extended Connectivity, </w:t>
      </w:r>
      <w:r w:rsidR="005C05AD">
        <w:rPr>
          <w:rFonts w:hint="eastAsia"/>
          <w:b/>
          <w:bCs/>
          <w:sz w:val="21"/>
          <w:szCs w:val="21"/>
          <w:lang w:val="en-US" w:eastAsia="ja-JP"/>
        </w:rPr>
        <w:t xml:space="preserve">creating </w:t>
      </w:r>
      <w:r w:rsidR="005C05AD" w:rsidRPr="005C05AD">
        <w:rPr>
          <w:b/>
          <w:bCs/>
          <w:sz w:val="21"/>
          <w:szCs w:val="21"/>
          <w:lang w:val="en-US" w:eastAsia="ja-JP"/>
        </w:rPr>
        <w:t xml:space="preserve">a single qualitative TPR: </w:t>
      </w:r>
      <w:r w:rsidRPr="007D017E">
        <w:rPr>
          <w:b/>
          <w:bCs/>
          <w:sz w:val="21"/>
          <w:szCs w:val="21"/>
          <w:lang w:val="en-US" w:eastAsia="ja-JP"/>
        </w:rPr>
        <w:t>“Resilience and Extended Connectivity”.</w:t>
      </w:r>
    </w:p>
    <w:p w14:paraId="55BAA970" w14:textId="7351A5C3" w:rsidR="00FB23B7" w:rsidRPr="00430176" w:rsidRDefault="00FB23B7" w:rsidP="00FB23B7">
      <w:pPr>
        <w:pStyle w:val="1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ja-JP"/>
        </w:rPr>
        <w:t>Summary</w:t>
      </w:r>
    </w:p>
    <w:p w14:paraId="75030EF1" w14:textId="1B47B923" w:rsidR="00FB23B7" w:rsidRDefault="005542A0" w:rsidP="00FB23B7">
      <w:pPr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This contribution </w:t>
      </w:r>
      <w:r>
        <w:rPr>
          <w:sz w:val="21"/>
          <w:szCs w:val="21"/>
          <w:lang w:val="en-US" w:eastAsia="ja-JP"/>
        </w:rPr>
        <w:t>provides</w:t>
      </w:r>
      <w:r>
        <w:rPr>
          <w:rFonts w:hint="eastAsia"/>
          <w:sz w:val="21"/>
          <w:szCs w:val="21"/>
          <w:lang w:val="en-US" w:eastAsia="ja-JP"/>
        </w:rPr>
        <w:t xml:space="preserve"> the </w:t>
      </w:r>
      <w:r w:rsidR="00984942">
        <w:rPr>
          <w:rFonts w:hint="eastAsia"/>
          <w:sz w:val="21"/>
          <w:szCs w:val="21"/>
          <w:lang w:val="en-US" w:eastAsia="ja-JP"/>
        </w:rPr>
        <w:t xml:space="preserve">following </w:t>
      </w:r>
      <w:r>
        <w:rPr>
          <w:rFonts w:hint="eastAsia"/>
          <w:sz w:val="21"/>
          <w:szCs w:val="21"/>
          <w:lang w:val="en-US" w:eastAsia="ja-JP"/>
        </w:rPr>
        <w:t xml:space="preserve">proposal for the LS </w:t>
      </w:r>
      <w:r w:rsidR="009D2C1A">
        <w:rPr>
          <w:rFonts w:hint="eastAsia"/>
          <w:sz w:val="21"/>
          <w:szCs w:val="21"/>
          <w:lang w:val="en-US" w:eastAsia="ja-JP"/>
        </w:rPr>
        <w:t xml:space="preserve">on TPRs of IMT-2030 </w:t>
      </w:r>
      <w:r>
        <w:rPr>
          <w:rFonts w:hint="eastAsia"/>
          <w:sz w:val="21"/>
          <w:szCs w:val="21"/>
          <w:lang w:val="en-US" w:eastAsia="ja-JP"/>
        </w:rPr>
        <w:t>from 3GPP TSG RAN to WP 5D:</w:t>
      </w:r>
    </w:p>
    <w:p w14:paraId="177B9B85" w14:textId="581A39ED" w:rsidR="005C05AD" w:rsidRDefault="005C05AD" w:rsidP="005C05AD">
      <w:pPr>
        <w:rPr>
          <w:b/>
          <w:bCs/>
          <w:sz w:val="21"/>
          <w:szCs w:val="21"/>
          <w:lang w:val="en-US" w:eastAsia="ja-JP"/>
        </w:rPr>
      </w:pPr>
      <w:r w:rsidRPr="007D017E">
        <w:rPr>
          <w:b/>
          <w:bCs/>
          <w:sz w:val="21"/>
          <w:szCs w:val="21"/>
          <w:lang w:val="en-US" w:eastAsia="ja-JP"/>
        </w:rPr>
        <w:t>Proposal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 1: </w:t>
      </w:r>
      <w:r w:rsidRPr="005C05AD">
        <w:rPr>
          <w:b/>
          <w:bCs/>
          <w:sz w:val="21"/>
          <w:szCs w:val="21"/>
          <w:lang w:val="en-US" w:eastAsia="ja-JP"/>
        </w:rPr>
        <w:t xml:space="preserve">If </w:t>
      </w:r>
      <w:r>
        <w:rPr>
          <w:rFonts w:hint="eastAsia"/>
          <w:b/>
          <w:bCs/>
          <w:sz w:val="21"/>
          <w:szCs w:val="21"/>
          <w:lang w:val="en-US" w:eastAsia="ja-JP"/>
        </w:rPr>
        <w:t>RAN#109</w:t>
      </w:r>
      <w:r w:rsidRPr="005C05AD">
        <w:rPr>
          <w:b/>
          <w:bCs/>
          <w:sz w:val="21"/>
          <w:szCs w:val="21"/>
          <w:lang w:val="en-US" w:eastAsia="ja-JP"/>
        </w:rPr>
        <w:t xml:space="preserve"> agrees to send an LS to WP 5D, 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the Resilience TPR </w:t>
      </w:r>
      <w:r>
        <w:rPr>
          <w:b/>
          <w:bCs/>
          <w:sz w:val="21"/>
          <w:szCs w:val="21"/>
          <w:lang w:val="en-US" w:eastAsia="ja-JP"/>
        </w:rPr>
        <w:t>should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 be </w:t>
      </w:r>
      <w:r>
        <w:rPr>
          <w:b/>
          <w:bCs/>
          <w:sz w:val="21"/>
          <w:szCs w:val="21"/>
          <w:lang w:val="en-US" w:eastAsia="ja-JP"/>
        </w:rPr>
        <w:t>merged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 with </w:t>
      </w:r>
      <w:r w:rsidRPr="007D017E">
        <w:rPr>
          <w:b/>
          <w:bCs/>
          <w:sz w:val="21"/>
          <w:szCs w:val="21"/>
          <w:lang w:val="en-US" w:eastAsia="ja-JP"/>
        </w:rPr>
        <w:t xml:space="preserve">Extended Connectivity, 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creating </w:t>
      </w:r>
      <w:r w:rsidRPr="005C05AD">
        <w:rPr>
          <w:b/>
          <w:bCs/>
          <w:sz w:val="21"/>
          <w:szCs w:val="21"/>
          <w:lang w:val="en-US" w:eastAsia="ja-JP"/>
        </w:rPr>
        <w:t xml:space="preserve">a single qualitative TPR: </w:t>
      </w:r>
      <w:r w:rsidRPr="007D017E">
        <w:rPr>
          <w:b/>
          <w:bCs/>
          <w:sz w:val="21"/>
          <w:szCs w:val="21"/>
          <w:lang w:val="en-US" w:eastAsia="ja-JP"/>
        </w:rPr>
        <w:t>“Resilience and Extended Connectivity”.</w:t>
      </w:r>
    </w:p>
    <w:p w14:paraId="5F0B496A" w14:textId="77777777" w:rsidR="00D466E4" w:rsidRPr="00401316" w:rsidRDefault="00D466E4" w:rsidP="00D466E4">
      <w:pPr>
        <w:pStyle w:val="1"/>
        <w:rPr>
          <w:rFonts w:ascii="Times New Roman" w:hAnsi="Times New Roman"/>
          <w:lang w:val="en-US"/>
        </w:rPr>
      </w:pPr>
      <w:r w:rsidRPr="00401316">
        <w:rPr>
          <w:rFonts w:ascii="Times New Roman" w:hAnsi="Times New Roman"/>
          <w:lang w:val="en-US"/>
        </w:rPr>
        <w:t>References</w:t>
      </w:r>
    </w:p>
    <w:p w14:paraId="3D717A8D" w14:textId="7B2DD60E" w:rsidR="005542A0" w:rsidRPr="00371ACB" w:rsidRDefault="005542A0" w:rsidP="005542A0">
      <w:pPr>
        <w:widowControl w:val="0"/>
        <w:numPr>
          <w:ilvl w:val="0"/>
          <w:numId w:val="34"/>
        </w:numPr>
        <w:snapToGrid w:val="0"/>
        <w:spacing w:line="276" w:lineRule="auto"/>
        <w:jc w:val="both"/>
        <w:rPr>
          <w:color w:val="0D0D0D"/>
        </w:rPr>
      </w:pPr>
      <w:bookmarkStart w:id="1" w:name="_Ref204161495"/>
      <w:r>
        <w:rPr>
          <w:rFonts w:hint="eastAsia"/>
        </w:rPr>
        <w:t xml:space="preserve">RP-251825 </w:t>
      </w:r>
      <w:r w:rsidR="00513992" w:rsidRPr="00513992">
        <w:t>LS on Minimum requirements related to technical performance for IMT-2030 radio interface(s)</w:t>
      </w:r>
      <w:r w:rsidR="00513992">
        <w:rPr>
          <w:rFonts w:hint="eastAsia"/>
          <w:lang w:eastAsia="ja-JP"/>
        </w:rPr>
        <w:t xml:space="preserve">, </w:t>
      </w:r>
      <w:r w:rsidR="00513992">
        <w:rPr>
          <w:rFonts w:hint="eastAsia"/>
          <w:bCs/>
          <w:lang w:eastAsia="ja-JP"/>
        </w:rPr>
        <w:t>3GPP TSG</w:t>
      </w:r>
      <w:r>
        <w:rPr>
          <w:rFonts w:hint="eastAsia"/>
          <w:bCs/>
        </w:rPr>
        <w:t xml:space="preserve"> RAN</w:t>
      </w:r>
      <w:bookmarkEnd w:id="1"/>
    </w:p>
    <w:p w14:paraId="45775335" w14:textId="5C887CEF" w:rsidR="005542A0" w:rsidRPr="00984942" w:rsidRDefault="005542A0" w:rsidP="005542A0">
      <w:pPr>
        <w:widowControl w:val="0"/>
        <w:numPr>
          <w:ilvl w:val="0"/>
          <w:numId w:val="34"/>
        </w:numPr>
        <w:snapToGrid w:val="0"/>
        <w:spacing w:line="276" w:lineRule="auto"/>
        <w:jc w:val="both"/>
        <w:rPr>
          <w:color w:val="0D0D0D"/>
        </w:rPr>
      </w:pPr>
      <w:r w:rsidRPr="00A34A11">
        <w:t>Document 5D/</w:t>
      </w:r>
      <w:r w:rsidR="00513992">
        <w:rPr>
          <w:rFonts w:hint="eastAsia"/>
          <w:lang w:eastAsia="ja-JP"/>
        </w:rPr>
        <w:t>792, Annex 5.14</w:t>
      </w:r>
      <w:r>
        <w:t xml:space="preserve"> </w:t>
      </w:r>
      <w:r w:rsidR="00513992" w:rsidRPr="00513992">
        <w:t xml:space="preserve">Working document towards a preliminary draft new Report ITU-R </w:t>
      </w:r>
      <w:proofErr w:type="gramStart"/>
      <w:r w:rsidR="00513992" w:rsidRPr="00513992">
        <w:t>M.[</w:t>
      </w:r>
      <w:proofErr w:type="gramEnd"/>
      <w:r w:rsidR="00513992" w:rsidRPr="00513992">
        <w:t>IMT-2030.TECH PERF REQ] - Minimum requirements related to technical performance for IMT-2030 radio interface(s)</w:t>
      </w:r>
      <w:r w:rsidR="00513992">
        <w:rPr>
          <w:rFonts w:hint="eastAsia"/>
          <w:lang w:eastAsia="ja-JP"/>
        </w:rPr>
        <w:t>, ITU-R WP 5D</w:t>
      </w:r>
    </w:p>
    <w:p w14:paraId="06D9DE47" w14:textId="2AB4E427" w:rsidR="00984942" w:rsidRPr="00E13D79" w:rsidRDefault="00984942" w:rsidP="005542A0">
      <w:pPr>
        <w:widowControl w:val="0"/>
        <w:numPr>
          <w:ilvl w:val="0"/>
          <w:numId w:val="34"/>
        </w:numPr>
        <w:snapToGrid w:val="0"/>
        <w:spacing w:line="276" w:lineRule="auto"/>
        <w:jc w:val="both"/>
        <w:rPr>
          <w:color w:val="0D0D0D"/>
        </w:rPr>
      </w:pPr>
      <w:r>
        <w:rPr>
          <w:rFonts w:hint="eastAsia"/>
          <w:color w:val="0D0D0D"/>
          <w:lang w:eastAsia="ja-JP"/>
        </w:rPr>
        <w:t xml:space="preserve">Recommendation ITU-R M.2160 </w:t>
      </w:r>
      <w:r w:rsidRPr="00984942">
        <w:rPr>
          <w:color w:val="0D0D0D"/>
          <w:lang w:eastAsia="ja-JP"/>
        </w:rPr>
        <w:t>Framework and overall objectives of the future development of IMT for 2030 and beyond</w:t>
      </w:r>
    </w:p>
    <w:p w14:paraId="33645EE4" w14:textId="1D9D6A47" w:rsidR="005D3080" w:rsidRPr="005D3080" w:rsidRDefault="005D3080" w:rsidP="005D3080">
      <w:pPr>
        <w:spacing w:before="360"/>
        <w:jc w:val="center"/>
        <w:rPr>
          <w:lang w:eastAsia="zh-CN"/>
        </w:rPr>
      </w:pPr>
      <w:r>
        <w:t>______________</w:t>
      </w:r>
    </w:p>
    <w:sectPr w:rsidR="005D3080" w:rsidRPr="005D30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6080" w14:textId="77777777" w:rsidR="003A7B4A" w:rsidRDefault="003A7B4A">
      <w:r>
        <w:separator/>
      </w:r>
    </w:p>
  </w:endnote>
  <w:endnote w:type="continuationSeparator" w:id="0">
    <w:p w14:paraId="4853732B" w14:textId="77777777" w:rsidR="003A7B4A" w:rsidRDefault="003A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6111" w14:textId="77777777" w:rsidR="003A7B4A" w:rsidRDefault="003A7B4A">
      <w:r>
        <w:separator/>
      </w:r>
    </w:p>
  </w:footnote>
  <w:footnote w:type="continuationSeparator" w:id="0">
    <w:p w14:paraId="1FACBD07" w14:textId="77777777" w:rsidR="003A7B4A" w:rsidRDefault="003A7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  <w:rPr>
        <w:sz w:val="20"/>
        <w:szCs w:val="20"/>
      </w:rPr>
    </w:lvl>
  </w:abstractNum>
  <w:abstractNum w:abstractNumId="1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9B639F0"/>
    <w:multiLevelType w:val="hybridMultilevel"/>
    <w:tmpl w:val="CA0841DA"/>
    <w:lvl w:ilvl="0" w:tplc="D3005B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C30E45"/>
    <w:multiLevelType w:val="hybridMultilevel"/>
    <w:tmpl w:val="97504300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41AF9"/>
    <w:multiLevelType w:val="hybridMultilevel"/>
    <w:tmpl w:val="CF0CA660"/>
    <w:lvl w:ilvl="0" w:tplc="DF344D8A">
      <w:start w:val="3"/>
      <w:numFmt w:val="bullet"/>
      <w:lvlText w:val=""/>
      <w:lvlJc w:val="left"/>
      <w:pPr>
        <w:ind w:left="1440" w:hanging="72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6778C"/>
    <w:multiLevelType w:val="hybridMultilevel"/>
    <w:tmpl w:val="1CBE0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A5D71"/>
    <w:multiLevelType w:val="hybridMultilevel"/>
    <w:tmpl w:val="F912C490"/>
    <w:lvl w:ilvl="0" w:tplc="DF344D8A">
      <w:start w:val="3"/>
      <w:numFmt w:val="bullet"/>
      <w:lvlText w:val=""/>
      <w:lvlJc w:val="left"/>
      <w:pPr>
        <w:ind w:left="1440" w:hanging="72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821B21"/>
    <w:multiLevelType w:val="hybridMultilevel"/>
    <w:tmpl w:val="EC36571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54AB3"/>
    <w:multiLevelType w:val="hybridMultilevel"/>
    <w:tmpl w:val="14008066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AA43777"/>
    <w:multiLevelType w:val="hybridMultilevel"/>
    <w:tmpl w:val="39E212D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4" w15:restartNumberingAfterBreak="0">
    <w:nsid w:val="1E782039"/>
    <w:multiLevelType w:val="hybridMultilevel"/>
    <w:tmpl w:val="8386493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D62D7"/>
    <w:multiLevelType w:val="hybridMultilevel"/>
    <w:tmpl w:val="BAD4CA24"/>
    <w:lvl w:ilvl="0" w:tplc="C27C9A2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345E8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F2562"/>
    <w:multiLevelType w:val="hybridMultilevel"/>
    <w:tmpl w:val="A24497A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B390D"/>
    <w:multiLevelType w:val="hybridMultilevel"/>
    <w:tmpl w:val="D32E3D5C"/>
    <w:lvl w:ilvl="0" w:tplc="A2A8A80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C7465"/>
    <w:multiLevelType w:val="hybridMultilevel"/>
    <w:tmpl w:val="F59E4A38"/>
    <w:lvl w:ilvl="0" w:tplc="3AAAF40A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3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0D056E"/>
    <w:multiLevelType w:val="hybridMultilevel"/>
    <w:tmpl w:val="7A6CF54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2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1E02386"/>
    <w:multiLevelType w:val="multilevel"/>
    <w:tmpl w:val="5FB4DF0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82E79E6"/>
    <w:multiLevelType w:val="hybridMultilevel"/>
    <w:tmpl w:val="74E4EC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41084"/>
    <w:multiLevelType w:val="hybridMultilevel"/>
    <w:tmpl w:val="B1EA0CF0"/>
    <w:lvl w:ilvl="0" w:tplc="C27C9A2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26BF9"/>
    <w:multiLevelType w:val="hybridMultilevel"/>
    <w:tmpl w:val="12F8F450"/>
    <w:lvl w:ilvl="0" w:tplc="BD76EFB6">
      <w:start w:val="1"/>
      <w:numFmt w:val="bullet"/>
      <w:lvlText w:val="–"/>
      <w:lvlJc w:val="left"/>
      <w:pPr>
        <w:ind w:left="44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075585C"/>
    <w:multiLevelType w:val="hybridMultilevel"/>
    <w:tmpl w:val="F634B7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E793A"/>
    <w:multiLevelType w:val="hybridMultilevel"/>
    <w:tmpl w:val="8F645256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8415AB"/>
    <w:multiLevelType w:val="hybridMultilevel"/>
    <w:tmpl w:val="9DE01934"/>
    <w:lvl w:ilvl="0" w:tplc="3F809F6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0C42B3"/>
    <w:multiLevelType w:val="multilevel"/>
    <w:tmpl w:val="02C20A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88343E5"/>
    <w:multiLevelType w:val="hybridMultilevel"/>
    <w:tmpl w:val="D0247E4C"/>
    <w:lvl w:ilvl="0" w:tplc="DF344D8A">
      <w:start w:val="3"/>
      <w:numFmt w:val="bullet"/>
      <w:lvlText w:val=""/>
      <w:lvlJc w:val="left"/>
      <w:pPr>
        <w:ind w:left="1440" w:hanging="72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6513E3"/>
    <w:multiLevelType w:val="hybridMultilevel"/>
    <w:tmpl w:val="1B4212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80292E"/>
    <w:multiLevelType w:val="hybridMultilevel"/>
    <w:tmpl w:val="0736EDA0"/>
    <w:lvl w:ilvl="0" w:tplc="BCE2A66E">
      <w:start w:val="2"/>
      <w:numFmt w:val="bullet"/>
      <w:lvlText w:val="-"/>
      <w:lvlJc w:val="left"/>
      <w:pPr>
        <w:ind w:left="872" w:hanging="440"/>
      </w:pPr>
      <w:rPr>
        <w:rFonts w:ascii="Times New Roman" w:eastAsia="Microsoft YaHei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1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2" w:hanging="440"/>
      </w:pPr>
      <w:rPr>
        <w:rFonts w:ascii="Wingdings" w:hAnsi="Wingdings" w:hint="default"/>
      </w:rPr>
    </w:lvl>
  </w:abstractNum>
  <w:abstractNum w:abstractNumId="44" w15:restartNumberingAfterBreak="0">
    <w:nsid w:val="795F0E6B"/>
    <w:multiLevelType w:val="hybridMultilevel"/>
    <w:tmpl w:val="CEE22FC2"/>
    <w:lvl w:ilvl="0" w:tplc="200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295416">
    <w:abstractNumId w:val="34"/>
  </w:num>
  <w:num w:numId="2" w16cid:durableId="1612736776">
    <w:abstractNumId w:val="27"/>
  </w:num>
  <w:num w:numId="3" w16cid:durableId="615021726">
    <w:abstractNumId w:val="25"/>
  </w:num>
  <w:num w:numId="4" w16cid:durableId="958535015">
    <w:abstractNumId w:val="33"/>
  </w:num>
  <w:num w:numId="5" w16cid:durableId="385420704">
    <w:abstractNumId w:val="29"/>
  </w:num>
  <w:num w:numId="6" w16cid:durableId="610163908">
    <w:abstractNumId w:val="42"/>
  </w:num>
  <w:num w:numId="7" w16cid:durableId="436222761">
    <w:abstractNumId w:val="10"/>
  </w:num>
  <w:num w:numId="8" w16cid:durableId="1451164635">
    <w:abstractNumId w:val="4"/>
  </w:num>
  <w:num w:numId="9" w16cid:durableId="1797720510">
    <w:abstractNumId w:val="28"/>
  </w:num>
  <w:num w:numId="10" w16cid:durableId="2033145209">
    <w:abstractNumId w:val="19"/>
  </w:num>
  <w:num w:numId="11" w16cid:durableId="58212239">
    <w:abstractNumId w:val="23"/>
  </w:num>
  <w:num w:numId="12" w16cid:durableId="525290187">
    <w:abstractNumId w:val="17"/>
  </w:num>
  <w:num w:numId="13" w16cid:durableId="1392076240">
    <w:abstractNumId w:val="26"/>
  </w:num>
  <w:num w:numId="14" w16cid:durableId="1406024439">
    <w:abstractNumId w:val="13"/>
  </w:num>
  <w:num w:numId="15" w16cid:durableId="1509294932">
    <w:abstractNumId w:val="21"/>
  </w:num>
  <w:num w:numId="16" w16cid:durableId="239944042">
    <w:abstractNumId w:val="35"/>
  </w:num>
  <w:num w:numId="17" w16cid:durableId="1902253121">
    <w:abstractNumId w:val="24"/>
  </w:num>
  <w:num w:numId="18" w16cid:durableId="1233738210">
    <w:abstractNumId w:val="41"/>
  </w:num>
  <w:num w:numId="19" w16cid:durableId="992106795">
    <w:abstractNumId w:val="12"/>
  </w:num>
  <w:num w:numId="20" w16cid:durableId="20522562">
    <w:abstractNumId w:val="15"/>
  </w:num>
  <w:num w:numId="21" w16cid:durableId="42407818">
    <w:abstractNumId w:val="31"/>
  </w:num>
  <w:num w:numId="22" w16cid:durableId="1446198036">
    <w:abstractNumId w:val="36"/>
  </w:num>
  <w:num w:numId="23" w16cid:durableId="684404162">
    <w:abstractNumId w:val="30"/>
  </w:num>
  <w:num w:numId="24" w16cid:durableId="2143956994">
    <w:abstractNumId w:val="8"/>
  </w:num>
  <w:num w:numId="25" w16cid:durableId="744498151">
    <w:abstractNumId w:val="6"/>
  </w:num>
  <w:num w:numId="26" w16cid:durableId="894894362">
    <w:abstractNumId w:val="40"/>
  </w:num>
  <w:num w:numId="27" w16cid:durableId="1612856619">
    <w:abstractNumId w:val="44"/>
  </w:num>
  <w:num w:numId="28" w16cid:durableId="625546838">
    <w:abstractNumId w:val="9"/>
  </w:num>
  <w:num w:numId="29" w16cid:durableId="440690111">
    <w:abstractNumId w:val="38"/>
  </w:num>
  <w:num w:numId="30" w16cid:durableId="755710203">
    <w:abstractNumId w:val="18"/>
  </w:num>
  <w:num w:numId="31" w16cid:durableId="607616080">
    <w:abstractNumId w:val="3"/>
  </w:num>
  <w:num w:numId="32" w16cid:durableId="1589345992">
    <w:abstractNumId w:val="5"/>
  </w:num>
  <w:num w:numId="33" w16cid:durableId="1682589955">
    <w:abstractNumId w:val="14"/>
  </w:num>
  <w:num w:numId="34" w16cid:durableId="14700366">
    <w:abstractNumId w:val="37"/>
  </w:num>
  <w:num w:numId="35" w16cid:durableId="1617177933">
    <w:abstractNumId w:val="7"/>
  </w:num>
  <w:num w:numId="36" w16cid:durableId="577444821">
    <w:abstractNumId w:val="16"/>
  </w:num>
  <w:num w:numId="37" w16cid:durableId="1778331504">
    <w:abstractNumId w:val="39"/>
  </w:num>
  <w:num w:numId="38" w16cid:durableId="10106200">
    <w:abstractNumId w:val="22"/>
  </w:num>
  <w:num w:numId="39" w16cid:durableId="732704317">
    <w:abstractNumId w:val="1"/>
  </w:num>
  <w:num w:numId="40" w16cid:durableId="1946569369">
    <w:abstractNumId w:val="2"/>
  </w:num>
  <w:num w:numId="41" w16cid:durableId="1252660780">
    <w:abstractNumId w:val="20"/>
  </w:num>
  <w:num w:numId="42" w16cid:durableId="1827432494">
    <w:abstractNumId w:val="43"/>
  </w:num>
  <w:num w:numId="43" w16cid:durableId="1234317398">
    <w:abstractNumId w:val="11"/>
  </w:num>
  <w:num w:numId="44" w16cid:durableId="1764761596">
    <w:abstractNumId w:val="0"/>
  </w:num>
  <w:num w:numId="45" w16cid:durableId="144102771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116BD"/>
    <w:rsid w:val="00011776"/>
    <w:rsid w:val="00016CA3"/>
    <w:rsid w:val="00022B48"/>
    <w:rsid w:val="000237F0"/>
    <w:rsid w:val="00032BA1"/>
    <w:rsid w:val="00037BA8"/>
    <w:rsid w:val="00043846"/>
    <w:rsid w:val="00047F45"/>
    <w:rsid w:val="0006072E"/>
    <w:rsid w:val="00063B5C"/>
    <w:rsid w:val="00067B1B"/>
    <w:rsid w:val="00076B9C"/>
    <w:rsid w:val="00080651"/>
    <w:rsid w:val="0008599B"/>
    <w:rsid w:val="00093C95"/>
    <w:rsid w:val="000944E4"/>
    <w:rsid w:val="000A0702"/>
    <w:rsid w:val="000A08EA"/>
    <w:rsid w:val="000A5706"/>
    <w:rsid w:val="000C0308"/>
    <w:rsid w:val="000C0855"/>
    <w:rsid w:val="000C5F61"/>
    <w:rsid w:val="000D79DB"/>
    <w:rsid w:val="000E0E53"/>
    <w:rsid w:val="000E5D87"/>
    <w:rsid w:val="000F08F9"/>
    <w:rsid w:val="000F1261"/>
    <w:rsid w:val="000F41F1"/>
    <w:rsid w:val="000F42FF"/>
    <w:rsid w:val="000F7F74"/>
    <w:rsid w:val="0010279D"/>
    <w:rsid w:val="00113182"/>
    <w:rsid w:val="001161AE"/>
    <w:rsid w:val="001168CC"/>
    <w:rsid w:val="00124AB3"/>
    <w:rsid w:val="001260A0"/>
    <w:rsid w:val="00133064"/>
    <w:rsid w:val="00133B5A"/>
    <w:rsid w:val="00134623"/>
    <w:rsid w:val="00134CFA"/>
    <w:rsid w:val="001357BA"/>
    <w:rsid w:val="001454DC"/>
    <w:rsid w:val="00145A8A"/>
    <w:rsid w:val="00155253"/>
    <w:rsid w:val="001600B3"/>
    <w:rsid w:val="001628E0"/>
    <w:rsid w:val="00163220"/>
    <w:rsid w:val="001638B9"/>
    <w:rsid w:val="00166C84"/>
    <w:rsid w:val="00166D2E"/>
    <w:rsid w:val="00172FC1"/>
    <w:rsid w:val="00174101"/>
    <w:rsid w:val="00181130"/>
    <w:rsid w:val="00186510"/>
    <w:rsid w:val="00187095"/>
    <w:rsid w:val="001909A3"/>
    <w:rsid w:val="0019482C"/>
    <w:rsid w:val="001B2B7D"/>
    <w:rsid w:val="001C2CAD"/>
    <w:rsid w:val="001C7164"/>
    <w:rsid w:val="001C758F"/>
    <w:rsid w:val="001D46A7"/>
    <w:rsid w:val="001E27EC"/>
    <w:rsid w:val="001E7A9E"/>
    <w:rsid w:val="0020378C"/>
    <w:rsid w:val="00205FAC"/>
    <w:rsid w:val="0021189D"/>
    <w:rsid w:val="00214CE0"/>
    <w:rsid w:val="00217C2F"/>
    <w:rsid w:val="002224AF"/>
    <w:rsid w:val="002229C3"/>
    <w:rsid w:val="00231259"/>
    <w:rsid w:val="00237340"/>
    <w:rsid w:val="002374EE"/>
    <w:rsid w:val="00240904"/>
    <w:rsid w:val="0024252A"/>
    <w:rsid w:val="00246998"/>
    <w:rsid w:val="0025513A"/>
    <w:rsid w:val="002552FC"/>
    <w:rsid w:val="00261C54"/>
    <w:rsid w:val="00263DFF"/>
    <w:rsid w:val="00265D42"/>
    <w:rsid w:val="00272990"/>
    <w:rsid w:val="00281DE1"/>
    <w:rsid w:val="0028654F"/>
    <w:rsid w:val="00290443"/>
    <w:rsid w:val="002920FC"/>
    <w:rsid w:val="00294CF5"/>
    <w:rsid w:val="002A118B"/>
    <w:rsid w:val="002A4267"/>
    <w:rsid w:val="002B405C"/>
    <w:rsid w:val="002B6B5E"/>
    <w:rsid w:val="002C16AF"/>
    <w:rsid w:val="002C233C"/>
    <w:rsid w:val="002C781B"/>
    <w:rsid w:val="002D2D54"/>
    <w:rsid w:val="002E3E1A"/>
    <w:rsid w:val="002E530A"/>
    <w:rsid w:val="002F37BD"/>
    <w:rsid w:val="002F579B"/>
    <w:rsid w:val="002F612D"/>
    <w:rsid w:val="002F65CD"/>
    <w:rsid w:val="0030456F"/>
    <w:rsid w:val="00304E78"/>
    <w:rsid w:val="00306ED0"/>
    <w:rsid w:val="00314711"/>
    <w:rsid w:val="00314EDE"/>
    <w:rsid w:val="00320346"/>
    <w:rsid w:val="00326A41"/>
    <w:rsid w:val="003271A7"/>
    <w:rsid w:val="00341E95"/>
    <w:rsid w:val="003435F0"/>
    <w:rsid w:val="0034565B"/>
    <w:rsid w:val="00345BFE"/>
    <w:rsid w:val="00347B9D"/>
    <w:rsid w:val="00352980"/>
    <w:rsid w:val="003549C5"/>
    <w:rsid w:val="003645EA"/>
    <w:rsid w:val="00366695"/>
    <w:rsid w:val="003673C9"/>
    <w:rsid w:val="003710C4"/>
    <w:rsid w:val="003731DF"/>
    <w:rsid w:val="00373333"/>
    <w:rsid w:val="003739C5"/>
    <w:rsid w:val="00373D29"/>
    <w:rsid w:val="00376953"/>
    <w:rsid w:val="00377E84"/>
    <w:rsid w:val="00381AF4"/>
    <w:rsid w:val="00390BBB"/>
    <w:rsid w:val="00393E0F"/>
    <w:rsid w:val="00397389"/>
    <w:rsid w:val="003A13CC"/>
    <w:rsid w:val="003A6D1F"/>
    <w:rsid w:val="003A7B4A"/>
    <w:rsid w:val="003B0759"/>
    <w:rsid w:val="003B48F2"/>
    <w:rsid w:val="003B74AC"/>
    <w:rsid w:val="003B79B2"/>
    <w:rsid w:val="003C0934"/>
    <w:rsid w:val="003C57D1"/>
    <w:rsid w:val="003C5C29"/>
    <w:rsid w:val="003C6850"/>
    <w:rsid w:val="003D19E7"/>
    <w:rsid w:val="003D3111"/>
    <w:rsid w:val="003D3C2B"/>
    <w:rsid w:val="003D69D3"/>
    <w:rsid w:val="003D7AD2"/>
    <w:rsid w:val="003E0C2F"/>
    <w:rsid w:val="003E2132"/>
    <w:rsid w:val="003E469F"/>
    <w:rsid w:val="003F70BC"/>
    <w:rsid w:val="00401316"/>
    <w:rsid w:val="004017E5"/>
    <w:rsid w:val="00403B74"/>
    <w:rsid w:val="00405C7C"/>
    <w:rsid w:val="00405FA0"/>
    <w:rsid w:val="0041789C"/>
    <w:rsid w:val="00425637"/>
    <w:rsid w:val="00427254"/>
    <w:rsid w:val="00430176"/>
    <w:rsid w:val="00431683"/>
    <w:rsid w:val="00431D7D"/>
    <w:rsid w:val="004320EE"/>
    <w:rsid w:val="0043565D"/>
    <w:rsid w:val="00442274"/>
    <w:rsid w:val="0044598B"/>
    <w:rsid w:val="0044655B"/>
    <w:rsid w:val="0045630F"/>
    <w:rsid w:val="004672AB"/>
    <w:rsid w:val="004739BC"/>
    <w:rsid w:val="00473EA3"/>
    <w:rsid w:val="00480B55"/>
    <w:rsid w:val="00480D77"/>
    <w:rsid w:val="00481918"/>
    <w:rsid w:val="00483C42"/>
    <w:rsid w:val="004859D7"/>
    <w:rsid w:val="00490817"/>
    <w:rsid w:val="004908D8"/>
    <w:rsid w:val="004926AD"/>
    <w:rsid w:val="00492D23"/>
    <w:rsid w:val="00494B09"/>
    <w:rsid w:val="00496500"/>
    <w:rsid w:val="004A0574"/>
    <w:rsid w:val="004A1F0E"/>
    <w:rsid w:val="004A31C5"/>
    <w:rsid w:val="004A5264"/>
    <w:rsid w:val="004A5351"/>
    <w:rsid w:val="004A538E"/>
    <w:rsid w:val="004A71C1"/>
    <w:rsid w:val="004B0E3A"/>
    <w:rsid w:val="004C1A3D"/>
    <w:rsid w:val="004C226B"/>
    <w:rsid w:val="004C701B"/>
    <w:rsid w:val="004D134B"/>
    <w:rsid w:val="004D20AB"/>
    <w:rsid w:val="004D2914"/>
    <w:rsid w:val="004D48EC"/>
    <w:rsid w:val="004D6232"/>
    <w:rsid w:val="004E6006"/>
    <w:rsid w:val="004E72D2"/>
    <w:rsid w:val="004F0707"/>
    <w:rsid w:val="004F1B44"/>
    <w:rsid w:val="00502A40"/>
    <w:rsid w:val="00513933"/>
    <w:rsid w:val="00513992"/>
    <w:rsid w:val="0052219E"/>
    <w:rsid w:val="00524C96"/>
    <w:rsid w:val="005271FB"/>
    <w:rsid w:val="005316F6"/>
    <w:rsid w:val="005361B6"/>
    <w:rsid w:val="0053648C"/>
    <w:rsid w:val="0054518F"/>
    <w:rsid w:val="00545B40"/>
    <w:rsid w:val="005474F0"/>
    <w:rsid w:val="00550C37"/>
    <w:rsid w:val="00551262"/>
    <w:rsid w:val="00552900"/>
    <w:rsid w:val="00553801"/>
    <w:rsid w:val="005542A0"/>
    <w:rsid w:val="00556721"/>
    <w:rsid w:val="00561BEC"/>
    <w:rsid w:val="00565D0B"/>
    <w:rsid w:val="00571FDC"/>
    <w:rsid w:val="00580C39"/>
    <w:rsid w:val="00582506"/>
    <w:rsid w:val="00583594"/>
    <w:rsid w:val="005838AF"/>
    <w:rsid w:val="00586410"/>
    <w:rsid w:val="00592364"/>
    <w:rsid w:val="00595F2A"/>
    <w:rsid w:val="00597475"/>
    <w:rsid w:val="005A079F"/>
    <w:rsid w:val="005A51B3"/>
    <w:rsid w:val="005A6088"/>
    <w:rsid w:val="005A7A0B"/>
    <w:rsid w:val="005B0E5E"/>
    <w:rsid w:val="005B4E2C"/>
    <w:rsid w:val="005C01CC"/>
    <w:rsid w:val="005C05AD"/>
    <w:rsid w:val="005C523F"/>
    <w:rsid w:val="005D0AB9"/>
    <w:rsid w:val="005D1D6A"/>
    <w:rsid w:val="005D2A94"/>
    <w:rsid w:val="005D2EB7"/>
    <w:rsid w:val="005D3014"/>
    <w:rsid w:val="005D3080"/>
    <w:rsid w:val="005D4474"/>
    <w:rsid w:val="005E24CC"/>
    <w:rsid w:val="005E560F"/>
    <w:rsid w:val="005E70DF"/>
    <w:rsid w:val="005E7270"/>
    <w:rsid w:val="005E792F"/>
    <w:rsid w:val="005F0B32"/>
    <w:rsid w:val="005F6BB8"/>
    <w:rsid w:val="00600FF6"/>
    <w:rsid w:val="006011A8"/>
    <w:rsid w:val="006035F4"/>
    <w:rsid w:val="00604C2B"/>
    <w:rsid w:val="0061091C"/>
    <w:rsid w:val="006112E8"/>
    <w:rsid w:val="00612921"/>
    <w:rsid w:val="006137E3"/>
    <w:rsid w:val="006165DA"/>
    <w:rsid w:val="00617A60"/>
    <w:rsid w:val="0062237B"/>
    <w:rsid w:val="00626F96"/>
    <w:rsid w:val="00627220"/>
    <w:rsid w:val="00630A71"/>
    <w:rsid w:val="0063150A"/>
    <w:rsid w:val="00633C18"/>
    <w:rsid w:val="00637023"/>
    <w:rsid w:val="00640BE4"/>
    <w:rsid w:val="006424D8"/>
    <w:rsid w:val="006428C9"/>
    <w:rsid w:val="006539BE"/>
    <w:rsid w:val="00656B13"/>
    <w:rsid w:val="006577E0"/>
    <w:rsid w:val="00660A80"/>
    <w:rsid w:val="006631EF"/>
    <w:rsid w:val="006648A7"/>
    <w:rsid w:val="00666307"/>
    <w:rsid w:val="00666410"/>
    <w:rsid w:val="0067141B"/>
    <w:rsid w:val="00674F79"/>
    <w:rsid w:val="00680483"/>
    <w:rsid w:val="00680A9A"/>
    <w:rsid w:val="006810A1"/>
    <w:rsid w:val="00681CEE"/>
    <w:rsid w:val="00685BF9"/>
    <w:rsid w:val="00691CF5"/>
    <w:rsid w:val="006926E0"/>
    <w:rsid w:val="006A1D96"/>
    <w:rsid w:val="006A7D78"/>
    <w:rsid w:val="006B0700"/>
    <w:rsid w:val="006B503A"/>
    <w:rsid w:val="006C543A"/>
    <w:rsid w:val="006D1494"/>
    <w:rsid w:val="006D5F54"/>
    <w:rsid w:val="006D6C66"/>
    <w:rsid w:val="006E13D1"/>
    <w:rsid w:val="006E5413"/>
    <w:rsid w:val="006E7B69"/>
    <w:rsid w:val="006F3C5F"/>
    <w:rsid w:val="0070106C"/>
    <w:rsid w:val="00701224"/>
    <w:rsid w:val="0070201D"/>
    <w:rsid w:val="007061AB"/>
    <w:rsid w:val="007066BB"/>
    <w:rsid w:val="0071150D"/>
    <w:rsid w:val="007116F9"/>
    <w:rsid w:val="007131E3"/>
    <w:rsid w:val="00714A3A"/>
    <w:rsid w:val="00714C76"/>
    <w:rsid w:val="00715868"/>
    <w:rsid w:val="00721E37"/>
    <w:rsid w:val="00737B89"/>
    <w:rsid w:val="00745365"/>
    <w:rsid w:val="007467A5"/>
    <w:rsid w:val="0074776E"/>
    <w:rsid w:val="00754827"/>
    <w:rsid w:val="007554CE"/>
    <w:rsid w:val="007574C8"/>
    <w:rsid w:val="0076687C"/>
    <w:rsid w:val="007676C2"/>
    <w:rsid w:val="00770FEF"/>
    <w:rsid w:val="007743A7"/>
    <w:rsid w:val="007764D2"/>
    <w:rsid w:val="00780381"/>
    <w:rsid w:val="0078559D"/>
    <w:rsid w:val="00787560"/>
    <w:rsid w:val="00787E97"/>
    <w:rsid w:val="007A0EDE"/>
    <w:rsid w:val="007A3D20"/>
    <w:rsid w:val="007A7C18"/>
    <w:rsid w:val="007A7E81"/>
    <w:rsid w:val="007C1C05"/>
    <w:rsid w:val="007C3C8F"/>
    <w:rsid w:val="007C501A"/>
    <w:rsid w:val="007C68E7"/>
    <w:rsid w:val="007D017E"/>
    <w:rsid w:val="007D1F8E"/>
    <w:rsid w:val="007D704C"/>
    <w:rsid w:val="007D7213"/>
    <w:rsid w:val="007E1B06"/>
    <w:rsid w:val="007E538F"/>
    <w:rsid w:val="007F43FD"/>
    <w:rsid w:val="008125D8"/>
    <w:rsid w:val="008127EA"/>
    <w:rsid w:val="00813593"/>
    <w:rsid w:val="008143CD"/>
    <w:rsid w:val="00831ABB"/>
    <w:rsid w:val="00833972"/>
    <w:rsid w:val="00835359"/>
    <w:rsid w:val="00836B80"/>
    <w:rsid w:val="0086504D"/>
    <w:rsid w:val="00873A66"/>
    <w:rsid w:val="008743E1"/>
    <w:rsid w:val="00876057"/>
    <w:rsid w:val="00880030"/>
    <w:rsid w:val="008809BE"/>
    <w:rsid w:val="008820FC"/>
    <w:rsid w:val="00883C9D"/>
    <w:rsid w:val="00893082"/>
    <w:rsid w:val="00896C6F"/>
    <w:rsid w:val="008A4190"/>
    <w:rsid w:val="008B04DD"/>
    <w:rsid w:val="008C48BA"/>
    <w:rsid w:val="008C69C2"/>
    <w:rsid w:val="008C7085"/>
    <w:rsid w:val="008C78B4"/>
    <w:rsid w:val="008D3D1D"/>
    <w:rsid w:val="008D51FD"/>
    <w:rsid w:val="008D5CBA"/>
    <w:rsid w:val="008D63F9"/>
    <w:rsid w:val="008D7F5B"/>
    <w:rsid w:val="008F5E1F"/>
    <w:rsid w:val="00900C64"/>
    <w:rsid w:val="009062D0"/>
    <w:rsid w:val="00913296"/>
    <w:rsid w:val="00913C0F"/>
    <w:rsid w:val="009177A5"/>
    <w:rsid w:val="00923CDF"/>
    <w:rsid w:val="009255FC"/>
    <w:rsid w:val="00926E5B"/>
    <w:rsid w:val="00936416"/>
    <w:rsid w:val="00937647"/>
    <w:rsid w:val="00937888"/>
    <w:rsid w:val="00937CAD"/>
    <w:rsid w:val="00937D9C"/>
    <w:rsid w:val="009467F0"/>
    <w:rsid w:val="00951CB7"/>
    <w:rsid w:val="009536A8"/>
    <w:rsid w:val="00953F92"/>
    <w:rsid w:val="00954A47"/>
    <w:rsid w:val="00957486"/>
    <w:rsid w:val="00963339"/>
    <w:rsid w:val="00970462"/>
    <w:rsid w:val="0097144C"/>
    <w:rsid w:val="00971586"/>
    <w:rsid w:val="00983238"/>
    <w:rsid w:val="00983245"/>
    <w:rsid w:val="00984942"/>
    <w:rsid w:val="00987038"/>
    <w:rsid w:val="00990790"/>
    <w:rsid w:val="0099315D"/>
    <w:rsid w:val="00993AC9"/>
    <w:rsid w:val="009972FA"/>
    <w:rsid w:val="009A4E07"/>
    <w:rsid w:val="009B23CB"/>
    <w:rsid w:val="009B23D2"/>
    <w:rsid w:val="009B27AA"/>
    <w:rsid w:val="009C1154"/>
    <w:rsid w:val="009C1D1E"/>
    <w:rsid w:val="009D2C1A"/>
    <w:rsid w:val="009F2F98"/>
    <w:rsid w:val="009F7379"/>
    <w:rsid w:val="00A02A2D"/>
    <w:rsid w:val="00A03D4B"/>
    <w:rsid w:val="00A206D0"/>
    <w:rsid w:val="00A25659"/>
    <w:rsid w:val="00A33848"/>
    <w:rsid w:val="00A44289"/>
    <w:rsid w:val="00A603D8"/>
    <w:rsid w:val="00A65026"/>
    <w:rsid w:val="00A6681C"/>
    <w:rsid w:val="00A672FA"/>
    <w:rsid w:val="00A70759"/>
    <w:rsid w:val="00A74397"/>
    <w:rsid w:val="00A832F7"/>
    <w:rsid w:val="00A83849"/>
    <w:rsid w:val="00A96089"/>
    <w:rsid w:val="00AA3DE6"/>
    <w:rsid w:val="00AA7E70"/>
    <w:rsid w:val="00AB1CBA"/>
    <w:rsid w:val="00AB2BE1"/>
    <w:rsid w:val="00AB4C64"/>
    <w:rsid w:val="00AB4CE0"/>
    <w:rsid w:val="00AB70AE"/>
    <w:rsid w:val="00AD01A9"/>
    <w:rsid w:val="00AD1AC8"/>
    <w:rsid w:val="00AD3B44"/>
    <w:rsid w:val="00AE060D"/>
    <w:rsid w:val="00AE298E"/>
    <w:rsid w:val="00AE76A1"/>
    <w:rsid w:val="00AF2646"/>
    <w:rsid w:val="00AF5CC5"/>
    <w:rsid w:val="00AF6745"/>
    <w:rsid w:val="00B0059F"/>
    <w:rsid w:val="00B14BBB"/>
    <w:rsid w:val="00B15BF9"/>
    <w:rsid w:val="00B228D3"/>
    <w:rsid w:val="00B23FD1"/>
    <w:rsid w:val="00B241D5"/>
    <w:rsid w:val="00B2491B"/>
    <w:rsid w:val="00B26567"/>
    <w:rsid w:val="00B340C5"/>
    <w:rsid w:val="00B4165B"/>
    <w:rsid w:val="00B4315B"/>
    <w:rsid w:val="00B445A4"/>
    <w:rsid w:val="00B46F28"/>
    <w:rsid w:val="00B520BA"/>
    <w:rsid w:val="00B6165D"/>
    <w:rsid w:val="00B6425C"/>
    <w:rsid w:val="00B64A73"/>
    <w:rsid w:val="00B660FD"/>
    <w:rsid w:val="00B66A40"/>
    <w:rsid w:val="00B72558"/>
    <w:rsid w:val="00B7331B"/>
    <w:rsid w:val="00B73A1E"/>
    <w:rsid w:val="00B75EC3"/>
    <w:rsid w:val="00B76BC2"/>
    <w:rsid w:val="00B77155"/>
    <w:rsid w:val="00B801AF"/>
    <w:rsid w:val="00B80476"/>
    <w:rsid w:val="00B948B0"/>
    <w:rsid w:val="00BA71A3"/>
    <w:rsid w:val="00BB7A0F"/>
    <w:rsid w:val="00BC6711"/>
    <w:rsid w:val="00BD1E0D"/>
    <w:rsid w:val="00BD2466"/>
    <w:rsid w:val="00BD4FDA"/>
    <w:rsid w:val="00BE2DF6"/>
    <w:rsid w:val="00BF0EB5"/>
    <w:rsid w:val="00BF1F70"/>
    <w:rsid w:val="00BF424C"/>
    <w:rsid w:val="00BF4687"/>
    <w:rsid w:val="00BF4694"/>
    <w:rsid w:val="00C15021"/>
    <w:rsid w:val="00C1639A"/>
    <w:rsid w:val="00C1649F"/>
    <w:rsid w:val="00C2575B"/>
    <w:rsid w:val="00C2721F"/>
    <w:rsid w:val="00C37A1B"/>
    <w:rsid w:val="00C431BE"/>
    <w:rsid w:val="00C46751"/>
    <w:rsid w:val="00C46E81"/>
    <w:rsid w:val="00C5182B"/>
    <w:rsid w:val="00C546A8"/>
    <w:rsid w:val="00C54C1E"/>
    <w:rsid w:val="00C5660D"/>
    <w:rsid w:val="00C617CE"/>
    <w:rsid w:val="00C621FC"/>
    <w:rsid w:val="00C66768"/>
    <w:rsid w:val="00C67185"/>
    <w:rsid w:val="00C6775F"/>
    <w:rsid w:val="00C81023"/>
    <w:rsid w:val="00C84FC7"/>
    <w:rsid w:val="00C91A45"/>
    <w:rsid w:val="00C93AC6"/>
    <w:rsid w:val="00CA243A"/>
    <w:rsid w:val="00CB4154"/>
    <w:rsid w:val="00CB6253"/>
    <w:rsid w:val="00CB751D"/>
    <w:rsid w:val="00CC00BD"/>
    <w:rsid w:val="00CC01E7"/>
    <w:rsid w:val="00CC2B01"/>
    <w:rsid w:val="00CC6DA0"/>
    <w:rsid w:val="00CC73F5"/>
    <w:rsid w:val="00CD2A79"/>
    <w:rsid w:val="00CD5A8B"/>
    <w:rsid w:val="00CD5AB3"/>
    <w:rsid w:val="00CE562F"/>
    <w:rsid w:val="00CE5BBA"/>
    <w:rsid w:val="00CF0813"/>
    <w:rsid w:val="00CF4F27"/>
    <w:rsid w:val="00CF50BE"/>
    <w:rsid w:val="00CF75E9"/>
    <w:rsid w:val="00D00542"/>
    <w:rsid w:val="00D01E4E"/>
    <w:rsid w:val="00D05E6B"/>
    <w:rsid w:val="00D06D85"/>
    <w:rsid w:val="00D14AD8"/>
    <w:rsid w:val="00D14FD0"/>
    <w:rsid w:val="00D16EC3"/>
    <w:rsid w:val="00D2274A"/>
    <w:rsid w:val="00D240BC"/>
    <w:rsid w:val="00D26B71"/>
    <w:rsid w:val="00D3097C"/>
    <w:rsid w:val="00D32522"/>
    <w:rsid w:val="00D33E03"/>
    <w:rsid w:val="00D35BB8"/>
    <w:rsid w:val="00D40BB1"/>
    <w:rsid w:val="00D44825"/>
    <w:rsid w:val="00D466E4"/>
    <w:rsid w:val="00D534DA"/>
    <w:rsid w:val="00D61190"/>
    <w:rsid w:val="00D61F2D"/>
    <w:rsid w:val="00D6268F"/>
    <w:rsid w:val="00D6408E"/>
    <w:rsid w:val="00D646C0"/>
    <w:rsid w:val="00D735A7"/>
    <w:rsid w:val="00D8048C"/>
    <w:rsid w:val="00D835BD"/>
    <w:rsid w:val="00D87CC2"/>
    <w:rsid w:val="00D92470"/>
    <w:rsid w:val="00D969E9"/>
    <w:rsid w:val="00DB0014"/>
    <w:rsid w:val="00DB56A2"/>
    <w:rsid w:val="00DC0E1D"/>
    <w:rsid w:val="00DC161A"/>
    <w:rsid w:val="00DC23D4"/>
    <w:rsid w:val="00DC2851"/>
    <w:rsid w:val="00DE60A0"/>
    <w:rsid w:val="00DF1B9B"/>
    <w:rsid w:val="00DF1F60"/>
    <w:rsid w:val="00E06B72"/>
    <w:rsid w:val="00E104E7"/>
    <w:rsid w:val="00E10DEE"/>
    <w:rsid w:val="00E12CF3"/>
    <w:rsid w:val="00E2400E"/>
    <w:rsid w:val="00E25574"/>
    <w:rsid w:val="00E317C8"/>
    <w:rsid w:val="00E34C99"/>
    <w:rsid w:val="00E37976"/>
    <w:rsid w:val="00E40F37"/>
    <w:rsid w:val="00E465C0"/>
    <w:rsid w:val="00E5091B"/>
    <w:rsid w:val="00E52110"/>
    <w:rsid w:val="00E5213B"/>
    <w:rsid w:val="00E523AA"/>
    <w:rsid w:val="00E52D81"/>
    <w:rsid w:val="00E578E2"/>
    <w:rsid w:val="00E603FA"/>
    <w:rsid w:val="00E64966"/>
    <w:rsid w:val="00E65329"/>
    <w:rsid w:val="00E665AE"/>
    <w:rsid w:val="00E67AE2"/>
    <w:rsid w:val="00E71A1A"/>
    <w:rsid w:val="00E77DB5"/>
    <w:rsid w:val="00E77E5D"/>
    <w:rsid w:val="00E830C2"/>
    <w:rsid w:val="00E85053"/>
    <w:rsid w:val="00E90639"/>
    <w:rsid w:val="00E91AA4"/>
    <w:rsid w:val="00E9449A"/>
    <w:rsid w:val="00E96D3A"/>
    <w:rsid w:val="00EB20E6"/>
    <w:rsid w:val="00EB2AC9"/>
    <w:rsid w:val="00EB4101"/>
    <w:rsid w:val="00EB6A52"/>
    <w:rsid w:val="00EB7A47"/>
    <w:rsid w:val="00EC00A9"/>
    <w:rsid w:val="00EC4D40"/>
    <w:rsid w:val="00ED236F"/>
    <w:rsid w:val="00ED38E0"/>
    <w:rsid w:val="00ED57E7"/>
    <w:rsid w:val="00ED5EC6"/>
    <w:rsid w:val="00EE0318"/>
    <w:rsid w:val="00EE1E35"/>
    <w:rsid w:val="00EE32C0"/>
    <w:rsid w:val="00EF0BC3"/>
    <w:rsid w:val="00EF2017"/>
    <w:rsid w:val="00F00133"/>
    <w:rsid w:val="00F030E8"/>
    <w:rsid w:val="00F0336F"/>
    <w:rsid w:val="00F03CED"/>
    <w:rsid w:val="00F0584E"/>
    <w:rsid w:val="00F06C5C"/>
    <w:rsid w:val="00F10B2B"/>
    <w:rsid w:val="00F11F98"/>
    <w:rsid w:val="00F2100D"/>
    <w:rsid w:val="00F21F51"/>
    <w:rsid w:val="00F26A8D"/>
    <w:rsid w:val="00F26E9A"/>
    <w:rsid w:val="00F32056"/>
    <w:rsid w:val="00F34121"/>
    <w:rsid w:val="00F34AF1"/>
    <w:rsid w:val="00F3592A"/>
    <w:rsid w:val="00F364F3"/>
    <w:rsid w:val="00F4321B"/>
    <w:rsid w:val="00F452AF"/>
    <w:rsid w:val="00F50FFE"/>
    <w:rsid w:val="00F519F0"/>
    <w:rsid w:val="00F51A48"/>
    <w:rsid w:val="00F56778"/>
    <w:rsid w:val="00F6148F"/>
    <w:rsid w:val="00F6291E"/>
    <w:rsid w:val="00F645EE"/>
    <w:rsid w:val="00F660AB"/>
    <w:rsid w:val="00F76429"/>
    <w:rsid w:val="00F80E16"/>
    <w:rsid w:val="00F81633"/>
    <w:rsid w:val="00F83032"/>
    <w:rsid w:val="00F8357F"/>
    <w:rsid w:val="00F83D14"/>
    <w:rsid w:val="00F910FB"/>
    <w:rsid w:val="00F92094"/>
    <w:rsid w:val="00FA0BBF"/>
    <w:rsid w:val="00FA0E83"/>
    <w:rsid w:val="00FA42FA"/>
    <w:rsid w:val="00FB11A5"/>
    <w:rsid w:val="00FB23B7"/>
    <w:rsid w:val="00FB2DD7"/>
    <w:rsid w:val="00FB43BF"/>
    <w:rsid w:val="00FC65AC"/>
    <w:rsid w:val="00FC66D0"/>
    <w:rsid w:val="00FD2BAD"/>
    <w:rsid w:val="00FD2D4A"/>
    <w:rsid w:val="00FD3EDF"/>
    <w:rsid w:val="00FE3251"/>
    <w:rsid w:val="00FE42FD"/>
    <w:rsid w:val="00FE5A96"/>
    <w:rsid w:val="00FE6B9D"/>
    <w:rsid w:val="00FF2308"/>
    <w:rsid w:val="00FF3119"/>
    <w:rsid w:val="00FF5A5B"/>
    <w:rsid w:val="00FF71A8"/>
    <w:rsid w:val="02777601"/>
    <w:rsid w:val="1BB2E045"/>
    <w:rsid w:val="412CC15C"/>
    <w:rsid w:val="4B92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5CBA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a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qFormat/>
    <w:rsid w:val="00B0059F"/>
    <w:rPr>
      <w:b/>
      <w:bCs/>
    </w:rPr>
  </w:style>
  <w:style w:type="paragraph" w:styleId="ac">
    <w:name w:val="footnote text"/>
    <w:basedOn w:val="a"/>
    <w:semiHidden/>
    <w:rsid w:val="00237340"/>
  </w:style>
  <w:style w:type="character" w:styleId="ad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e">
    <w:name w:val="Block Text"/>
    <w:basedOn w:val="a"/>
    <w:rsid w:val="009C1154"/>
    <w:pPr>
      <w:spacing w:after="120"/>
      <w:ind w:left="1440" w:right="1440"/>
    </w:pPr>
  </w:style>
  <w:style w:type="character" w:styleId="af">
    <w:name w:val="Hyperlink"/>
    <w:aliases w:val="CEO_Hyperlink,超级链接,ECC Hyperlink"/>
    <w:uiPriority w:val="99"/>
    <w:qFormat/>
    <w:rsid w:val="00134CFA"/>
    <w:rPr>
      <w:color w:val="0000FF"/>
      <w:u w:val="single"/>
    </w:rPr>
  </w:style>
  <w:style w:type="character" w:styleId="af0">
    <w:name w:val="annotation reference"/>
    <w:semiHidden/>
    <w:rsid w:val="00134CFA"/>
    <w:rPr>
      <w:sz w:val="16"/>
    </w:rPr>
  </w:style>
  <w:style w:type="paragraph" w:styleId="af1">
    <w:name w:val="annotation subject"/>
    <w:basedOn w:val="a6"/>
    <w:next w:val="a6"/>
    <w:link w:val="af2"/>
    <w:rsid w:val="00133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1"/>
    <w:link w:val="a6"/>
    <w:semiHidden/>
    <w:rsid w:val="00133064"/>
    <w:rPr>
      <w:rFonts w:ascii="Arial" w:hAnsi="Arial"/>
      <w:lang w:val="en-GB" w:eastAsia="en-US"/>
    </w:rPr>
  </w:style>
  <w:style w:type="character" w:customStyle="1" w:styleId="af2">
    <w:name w:val="コメント内容 (文字)"/>
    <w:basedOn w:val="a7"/>
    <w:link w:val="af1"/>
    <w:rsid w:val="00133064"/>
    <w:rPr>
      <w:rFonts w:ascii="Arial" w:hAnsi="Arial"/>
      <w:b/>
      <w:bCs/>
      <w:lang w:val="en-GB" w:eastAsia="en-US"/>
    </w:rPr>
  </w:style>
  <w:style w:type="paragraph" w:customStyle="1" w:styleId="enumlev1">
    <w:name w:val="enumlev1"/>
    <w:basedOn w:val="a"/>
    <w:link w:val="enumlev1Char"/>
    <w:qFormat/>
    <w:rsid w:val="00B265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umlev1Char">
    <w:name w:val="enumlev1 Char"/>
    <w:link w:val="enumlev1"/>
    <w:qFormat/>
    <w:locked/>
    <w:rsid w:val="00B26567"/>
    <w:rPr>
      <w:sz w:val="24"/>
      <w:lang w:val="en-GB" w:eastAsia="en-US"/>
    </w:rPr>
  </w:style>
  <w:style w:type="paragraph" w:customStyle="1" w:styleId="enumlev2">
    <w:name w:val="enumlev2"/>
    <w:basedOn w:val="enumlev1"/>
    <w:rsid w:val="00C84FC7"/>
    <w:pPr>
      <w:ind w:left="1871" w:hanging="737"/>
    </w:pPr>
  </w:style>
  <w:style w:type="paragraph" w:customStyle="1" w:styleId="Tabletext">
    <w:name w:val="Table_text"/>
    <w:basedOn w:val="a"/>
    <w:link w:val="TabletextChar"/>
    <w:rsid w:val="00C84F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Figuretitle">
    <w:name w:val="Figure_title"/>
    <w:basedOn w:val="a"/>
    <w:next w:val="a"/>
    <w:link w:val="FiguretitleChar"/>
    <w:rsid w:val="00C84FC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FiguretitleChar">
    <w:name w:val="Figure_title Char"/>
    <w:link w:val="Figuretitle"/>
    <w:rsid w:val="00C84FC7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C84FC7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C84FC7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C84FC7"/>
    <w:rPr>
      <w:lang w:val="en-GB" w:eastAsia="en-US"/>
    </w:rPr>
  </w:style>
  <w:style w:type="paragraph" w:styleId="af3">
    <w:name w:val="Revision"/>
    <w:hidden/>
    <w:uiPriority w:val="99"/>
    <w:semiHidden/>
    <w:rsid w:val="004C701B"/>
    <w:rPr>
      <w:lang w:val="en-GB" w:eastAsia="en-US"/>
    </w:rPr>
  </w:style>
  <w:style w:type="character" w:styleId="af4">
    <w:name w:val="Unresolved Mention"/>
    <w:basedOn w:val="a1"/>
    <w:uiPriority w:val="99"/>
    <w:semiHidden/>
    <w:unhideWhenUsed/>
    <w:rsid w:val="00993AC9"/>
    <w:rPr>
      <w:color w:val="605E5C"/>
      <w:shd w:val="clear" w:color="auto" w:fill="E1DFDD"/>
    </w:rPr>
  </w:style>
  <w:style w:type="character" w:styleId="af5">
    <w:name w:val="Mention"/>
    <w:basedOn w:val="a1"/>
    <w:uiPriority w:val="99"/>
    <w:unhideWhenUsed/>
    <w:rsid w:val="000F08F9"/>
    <w:rPr>
      <w:color w:val="2B579A"/>
      <w:shd w:val="clear" w:color="auto" w:fill="E1DFDD"/>
    </w:rPr>
  </w:style>
  <w:style w:type="paragraph" w:customStyle="1" w:styleId="Reftext">
    <w:name w:val="Ref_text"/>
    <w:basedOn w:val="a"/>
    <w:rsid w:val="00B46F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textAlignment w:val="baseline"/>
    </w:pPr>
    <w:rPr>
      <w:sz w:val="24"/>
    </w:rPr>
  </w:style>
  <w:style w:type="paragraph" w:customStyle="1" w:styleId="Note">
    <w:name w:val="Note"/>
    <w:basedOn w:val="a"/>
    <w:next w:val="a"/>
    <w:qFormat/>
    <w:rsid w:val="00261C54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ＭＳ 明朝"/>
      <w:sz w:val="22"/>
    </w:rPr>
  </w:style>
  <w:style w:type="paragraph" w:customStyle="1" w:styleId="EditorsNote">
    <w:name w:val="EditorsNote"/>
    <w:basedOn w:val="a"/>
    <w:qFormat/>
    <w:rsid w:val="00261C5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ＭＳ 明朝"/>
      <w:i/>
      <w:iCs/>
      <w:sz w:val="24"/>
    </w:rPr>
  </w:style>
  <w:style w:type="paragraph" w:styleId="af6">
    <w:name w:val="List Paragraph"/>
    <w:basedOn w:val="a"/>
    <w:link w:val="af7"/>
    <w:uiPriority w:val="34"/>
    <w:qFormat/>
    <w:rsid w:val="00770FEF"/>
    <w:pPr>
      <w:ind w:leftChars="400" w:left="840"/>
    </w:pPr>
  </w:style>
  <w:style w:type="character" w:customStyle="1" w:styleId="af7">
    <w:name w:val="リスト段落 (文字)"/>
    <w:link w:val="af6"/>
    <w:uiPriority w:val="34"/>
    <w:qFormat/>
    <w:locked/>
    <w:rsid w:val="007764D2"/>
    <w:rPr>
      <w:lang w:val="en-GB" w:eastAsia="en-US"/>
    </w:rPr>
  </w:style>
  <w:style w:type="paragraph" w:styleId="Web">
    <w:name w:val="Normal (Web)"/>
    <w:basedOn w:val="a"/>
    <w:rsid w:val="00C257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9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29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2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39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612C5B-B81C-4FD0-934D-2ECF811FA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7EB5-C8C9-4D96-946B-3E0981EE3C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828D238-3053-4DB7-97EF-96493EEE0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SoftBank</dc:creator>
  <cp:keywords/>
  <dc:description/>
  <cp:lastModifiedBy>Japan</cp:lastModifiedBy>
  <cp:revision>3</cp:revision>
  <cp:lastPrinted>2001-04-23T09:30:00Z</cp:lastPrinted>
  <dcterms:created xsi:type="dcterms:W3CDTF">2025-08-29T01:51:00Z</dcterms:created>
  <dcterms:modified xsi:type="dcterms:W3CDTF">2025-09-02T06:40:00Z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